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7"/>
        <w:spacing w:after="0"/>
        <w:rPr>
          <w:rFonts w:hint="default" w:ascii="Arial" w:hAnsi="Arial" w:eastAsia="宋体" w:cs="Arial"/>
          <w:sz w:val="22"/>
          <w:lang w:val="en-US" w:eastAsia="zh-CN"/>
        </w:rPr>
      </w:pPr>
      <w:bookmarkStart w:id="0" w:name="OLE_LINK3"/>
      <w:r>
        <w:rPr>
          <w:rFonts w:ascii="Arial" w:hAnsi="Arial" w:cs="Arial"/>
          <w:sz w:val="22"/>
          <w:lang w:val="en-US"/>
        </w:rPr>
        <w:t>3GPP TSG RAN WG2 #121-</w:t>
      </w:r>
      <w:r>
        <w:rPr>
          <w:rFonts w:ascii="Arial" w:hAnsi="Arial" w:cs="Arial" w:eastAsiaTheme="minorEastAsia"/>
          <w:sz w:val="22"/>
          <w:lang w:val="en-US"/>
        </w:rPr>
        <w:t>bis electronic</w:t>
      </w:r>
      <w:r>
        <w:rPr>
          <w:rFonts w:ascii="Arial" w:hAnsi="Arial" w:cs="Arial"/>
          <w:sz w:val="22"/>
          <w:lang w:val="en-US"/>
        </w:rPr>
        <w:tab/>
      </w:r>
      <w:r>
        <w:rPr>
          <w:rFonts w:ascii="Arial" w:hAnsi="Arial" w:cs="Arial"/>
          <w:sz w:val="22"/>
          <w:lang w:val="en-US"/>
        </w:rPr>
        <w:t>R2-230</w:t>
      </w:r>
      <w:r>
        <w:rPr>
          <w:rFonts w:hint="eastAsia" w:ascii="Arial" w:hAnsi="Arial" w:cs="Arial" w:eastAsiaTheme="minorEastAsia"/>
          <w:sz w:val="22"/>
          <w:lang w:val="en-US" w:eastAsia="zh-CN"/>
        </w:rPr>
        <w:t>3532</w:t>
      </w:r>
      <w:bookmarkStart w:id="6" w:name="_GoBack"/>
      <w:bookmarkEnd w:id="6"/>
    </w:p>
    <w:bookmarkEnd w:id="0"/>
    <w:p>
      <w:pPr>
        <w:pStyle w:val="24"/>
        <w:rPr>
          <w:rFonts w:eastAsia="Times New Roman" w:cs="Arial"/>
          <w:sz w:val="22"/>
          <w:lang w:val="en-US" w:eastAsia="zh-CN"/>
        </w:rPr>
      </w:pPr>
      <w:r>
        <w:rPr>
          <w:rFonts w:eastAsia="Times New Roman" w:cs="Arial"/>
          <w:sz w:val="22"/>
          <w:lang w:val="en-US" w:eastAsia="zh-CN"/>
        </w:rPr>
        <w:t>April 17-26, 2023</w:t>
      </w:r>
    </w:p>
    <w:p>
      <w:pPr>
        <w:pStyle w:val="24"/>
        <w:rPr>
          <w:rFonts w:eastAsia="MS Mincho"/>
          <w:bCs/>
          <w:sz w:val="24"/>
          <w:lang w:val="en-US"/>
        </w:rPr>
      </w:pPr>
    </w:p>
    <w:p>
      <w:pPr>
        <w:pStyle w:val="68"/>
        <w:tabs>
          <w:tab w:val="left" w:pos="1985"/>
        </w:tabs>
        <w:rPr>
          <w:rFonts w:eastAsia="宋体" w:cs="Arial"/>
          <w:b/>
          <w:bCs/>
          <w:sz w:val="24"/>
          <w:lang w:eastAsia="zh-CN"/>
        </w:rPr>
      </w:pPr>
      <w:r>
        <w:rPr>
          <w:rFonts w:cs="Arial"/>
          <w:b/>
          <w:bCs/>
          <w:sz w:val="24"/>
        </w:rPr>
        <w:t>Agenda item:</w:t>
      </w:r>
      <w:r>
        <w:rPr>
          <w:rFonts w:cs="Arial"/>
          <w:b/>
          <w:bCs/>
          <w:sz w:val="24"/>
        </w:rPr>
        <w:tab/>
      </w:r>
      <w:r>
        <w:rPr>
          <w:rFonts w:eastAsia="宋体" w:cs="Arial"/>
          <w:b/>
          <w:bCs/>
          <w:sz w:val="24"/>
          <w:lang w:eastAsia="zh-CN"/>
        </w:rPr>
        <w:t>7</w:t>
      </w:r>
      <w:r>
        <w:rPr>
          <w:rFonts w:hint="eastAsia" w:eastAsia="宋体" w:cs="Arial"/>
          <w:b/>
          <w:bCs/>
          <w:sz w:val="24"/>
          <w:lang w:eastAsia="zh-CN"/>
        </w:rPr>
        <w:t>.</w:t>
      </w:r>
      <w:r>
        <w:rPr>
          <w:rFonts w:eastAsia="宋体" w:cs="Arial"/>
          <w:b/>
          <w:bCs/>
          <w:sz w:val="24"/>
          <w:lang w:eastAsia="zh-CN"/>
        </w:rPr>
        <w:t>14.2</w:t>
      </w:r>
    </w:p>
    <w:p>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CMCC</w:t>
      </w:r>
    </w:p>
    <w:p>
      <w:pPr>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Pr>
          <w:rFonts w:hint="eastAsia" w:ascii="Arial" w:hAnsi="Arial" w:cs="Arial"/>
          <w:b/>
          <w:bCs/>
          <w:sz w:val="24"/>
          <w:lang w:eastAsia="zh-CN"/>
        </w:rPr>
        <w:t>Consideration</w:t>
      </w:r>
      <w:r>
        <w:rPr>
          <w:rFonts w:ascii="Arial" w:hAnsi="Arial" w:cs="Arial"/>
          <w:b/>
          <w:bCs/>
          <w:sz w:val="24"/>
        </w:rPr>
        <w:t xml:space="preserve"> </w:t>
      </w:r>
      <w:r>
        <w:rPr>
          <w:rFonts w:hint="eastAsia" w:ascii="Arial" w:hAnsi="Arial" w:cs="Arial"/>
          <w:b/>
          <w:bCs/>
          <w:sz w:val="24"/>
          <w:lang w:eastAsia="zh-CN"/>
        </w:rPr>
        <w:t>on</w:t>
      </w:r>
      <w:r>
        <w:rPr>
          <w:rFonts w:ascii="Arial" w:hAnsi="Arial" w:cs="Arial"/>
          <w:b/>
          <w:bCs/>
          <w:sz w:val="24"/>
        </w:rPr>
        <w:t xml:space="preserve"> </w:t>
      </w:r>
      <w:r>
        <w:rPr>
          <w:rFonts w:hint="eastAsia" w:ascii="Arial" w:hAnsi="Arial" w:cs="Arial"/>
          <w:b/>
          <w:bCs/>
          <w:sz w:val="24"/>
          <w:lang w:eastAsia="zh-CN"/>
        </w:rPr>
        <w:t>QoE</w:t>
      </w:r>
      <w:r>
        <w:rPr>
          <w:rFonts w:ascii="Arial" w:hAnsi="Arial" w:cs="Arial"/>
          <w:b/>
          <w:bCs/>
          <w:sz w:val="24"/>
          <w:lang w:eastAsia="zh-CN"/>
        </w:rPr>
        <w:t xml:space="preserve"> </w:t>
      </w:r>
      <w:r>
        <w:rPr>
          <w:rFonts w:hint="eastAsia" w:ascii="Arial" w:hAnsi="Arial" w:cs="Arial"/>
          <w:b/>
          <w:bCs/>
          <w:sz w:val="24"/>
          <w:lang w:eastAsia="zh-CN"/>
        </w:rPr>
        <w:t>measurement</w:t>
      </w:r>
      <w:r>
        <w:rPr>
          <w:rFonts w:ascii="Arial" w:hAnsi="Arial" w:cs="Arial"/>
          <w:b/>
          <w:bCs/>
          <w:sz w:val="24"/>
          <w:lang w:eastAsia="zh-CN"/>
        </w:rPr>
        <w:t xml:space="preserve"> </w:t>
      </w:r>
      <w:r>
        <w:rPr>
          <w:rFonts w:hint="eastAsia" w:ascii="Arial" w:hAnsi="Arial" w:cs="Arial"/>
          <w:b/>
          <w:bCs/>
          <w:sz w:val="24"/>
          <w:lang w:eastAsia="zh-CN"/>
        </w:rPr>
        <w:t>in</w:t>
      </w:r>
      <w:r>
        <w:rPr>
          <w:rFonts w:ascii="Arial" w:hAnsi="Arial" w:cs="Arial"/>
          <w:b/>
          <w:bCs/>
          <w:sz w:val="24"/>
          <w:lang w:eastAsia="zh-CN"/>
        </w:rPr>
        <w:t xml:space="preserve"> </w:t>
      </w:r>
      <w:r>
        <w:rPr>
          <w:rFonts w:hint="eastAsia" w:ascii="Arial" w:hAnsi="Arial" w:cs="Arial"/>
          <w:b/>
          <w:bCs/>
          <w:sz w:val="24"/>
          <w:lang w:eastAsia="zh-CN"/>
        </w:rPr>
        <w:t>RRC</w:t>
      </w:r>
      <w:r>
        <w:rPr>
          <w:rFonts w:ascii="Arial" w:hAnsi="Arial" w:cs="Arial"/>
          <w:b/>
          <w:bCs/>
          <w:sz w:val="24"/>
          <w:lang w:eastAsia="zh-CN"/>
        </w:rPr>
        <w:t>_IDLE and RRC_INACTIVE</w:t>
      </w:r>
    </w:p>
    <w:p>
      <w:pPr>
        <w:tabs>
          <w:tab w:val="left" w:pos="1985"/>
        </w:tabs>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Decision, Discussion</w:t>
      </w:r>
    </w:p>
    <w:p>
      <w:pPr>
        <w:pStyle w:val="2"/>
      </w:pPr>
      <w:r>
        <w:t>1</w:t>
      </w:r>
      <w:r>
        <w:tab/>
      </w:r>
      <w:r>
        <w:t>Introduction</w:t>
      </w:r>
    </w:p>
    <w:p>
      <w:pPr>
        <w:overflowPunct w:val="0"/>
        <w:autoSpaceDE w:val="0"/>
        <w:autoSpaceDN w:val="0"/>
        <w:adjustRightInd w:val="0"/>
        <w:textAlignment w:val="baseline"/>
        <w:rPr>
          <w:lang w:val="sv-SE" w:eastAsia="zh-CN"/>
        </w:rPr>
      </w:pPr>
      <w:bookmarkStart w:id="1" w:name="_Hlk127457765"/>
      <w:r>
        <w:rPr>
          <w:lang w:val="sv-SE" w:eastAsia="zh-CN"/>
        </w:rPr>
        <w:t xml:space="preserve">In RAN2 121[1], </w:t>
      </w:r>
      <w:bookmarkStart w:id="2" w:name="_Hlk127457838"/>
      <w:r>
        <w:rPr>
          <w:lang w:val="sv-SE" w:eastAsia="zh-CN"/>
        </w:rPr>
        <w:t xml:space="preserve">consensus </w:t>
      </w:r>
      <w:bookmarkEnd w:id="2"/>
      <w:r>
        <w:rPr>
          <w:lang w:val="sv-SE" w:eastAsia="zh-CN"/>
        </w:rPr>
        <w:t>has been reached on QMC in RRC_IDLE and RRC_INACTIVE, and several specific measures were agreed upon. These consensus include the following:</w:t>
      </w:r>
    </w:p>
    <w:bookmarkEnd w:id="1"/>
    <w:p>
      <w:pPr>
        <w:pStyle w:val="72"/>
        <w:rPr>
          <w:rFonts w:ascii="Calibri" w:hAnsi="Calibri" w:cs="Calibri"/>
          <w:sz w:val="22"/>
          <w:szCs w:val="22"/>
          <w:lang w:val="en-GB"/>
        </w:rPr>
      </w:pPr>
      <w:r>
        <w:rPr>
          <w:highlight w:val="yellow"/>
          <w:lang w:val="en-GB"/>
        </w:rPr>
        <w:t xml:space="preserve">Rel-18 QoE configuration can be provided to UE as in Rel-17 (RRCreconfiguration, RRCresume). </w:t>
      </w:r>
    </w:p>
    <w:p>
      <w:pPr>
        <w:pStyle w:val="72"/>
        <w:rPr>
          <w:rFonts w:ascii="Calibri" w:hAnsi="Calibri" w:cs="Calibri"/>
          <w:sz w:val="22"/>
          <w:szCs w:val="22"/>
          <w:lang w:val="en-GB"/>
        </w:rPr>
      </w:pPr>
      <w:r>
        <w:rPr>
          <w:highlight w:val="yellow"/>
          <w:lang w:val="en-GB"/>
        </w:rPr>
        <w:t>FFS if RRCRelease can be used – proponents should provide detailed proposals on what is in RRCRelease, why it is needed, how to handle RRCReconfiguration + RRCRelease together.</w:t>
      </w:r>
    </w:p>
    <w:p>
      <w:pPr>
        <w:pStyle w:val="72"/>
        <w:rPr>
          <w:rFonts w:ascii="Calibri" w:hAnsi="Calibri" w:cs="Calibri"/>
          <w:sz w:val="22"/>
          <w:szCs w:val="22"/>
          <w:lang w:val="en-GB"/>
        </w:rPr>
      </w:pPr>
      <w:r>
        <w:rPr>
          <w:lang w:val="en-GB"/>
        </w:rPr>
        <w:t>RAN2 thinks existing paging can be used to bring UE to CONNECTED, where NW can release QoE configuration. This requires no specification changes.</w:t>
      </w:r>
    </w:p>
    <w:p>
      <w:pPr>
        <w:pStyle w:val="72"/>
        <w:rPr>
          <w:rFonts w:ascii="Calibri" w:hAnsi="Calibri" w:cs="Calibri"/>
          <w:sz w:val="22"/>
          <w:szCs w:val="22"/>
          <w:lang w:val="en-GB"/>
        </w:rPr>
      </w:pPr>
      <w:r>
        <w:rPr>
          <w:highlight w:val="yellow"/>
          <w:lang w:val="en-GB"/>
        </w:rPr>
        <w:t>If UE moves outside of area scope for QoE configuration, UE keeps the QoE configurations and does not start new QoE sessions.</w:t>
      </w:r>
    </w:p>
    <w:p>
      <w:pPr>
        <w:pStyle w:val="72"/>
        <w:rPr>
          <w:rFonts w:ascii="Calibri" w:hAnsi="Calibri" w:cs="Calibri"/>
          <w:sz w:val="22"/>
          <w:szCs w:val="22"/>
          <w:lang w:val="en-GB"/>
        </w:rPr>
      </w:pPr>
      <w:r>
        <w:rPr>
          <w:highlight w:val="yellow"/>
          <w:lang w:val="en-GB"/>
        </w:rPr>
        <w:t>If the AS layer buffer is full, RAN2 thinks AS layer should discard the QoE data. Can revisit this if SA5 LS reply indicates something that would create issues with this.</w:t>
      </w:r>
    </w:p>
    <w:p>
      <w:pPr>
        <w:pStyle w:val="72"/>
        <w:rPr>
          <w:rFonts w:ascii="Calibri" w:hAnsi="Calibri" w:cs="Calibri"/>
          <w:sz w:val="22"/>
          <w:szCs w:val="22"/>
          <w:lang w:val="en-GB"/>
        </w:rPr>
      </w:pPr>
      <w:r>
        <w:rPr>
          <w:highlight w:val="yellow"/>
          <w:lang w:val="en-GB"/>
        </w:rPr>
        <w:t xml:space="preserve">FFS what the minimum AS layer buffer size (at least 64 kBytes, can consider whether larger value is used in UE capability discussions). </w:t>
      </w:r>
    </w:p>
    <w:p>
      <w:pPr>
        <w:pStyle w:val="72"/>
        <w:rPr>
          <w:rFonts w:ascii="Calibri" w:hAnsi="Calibri" w:cs="Calibri"/>
          <w:sz w:val="22"/>
          <w:szCs w:val="22"/>
          <w:lang w:val="en-GB"/>
        </w:rPr>
      </w:pPr>
      <w:r>
        <w:rPr>
          <w:lang w:val="en-GB"/>
        </w:rPr>
        <w:t xml:space="preserve">Same as the RRC_CONNECTED state, when the UE transfer to the IDLE state, the UE AS layer stores QoE configurations (except for QoE container) for MBS broadcast.  </w:t>
      </w:r>
      <w:r>
        <w:rPr>
          <w:highlight w:val="yellow"/>
          <w:lang w:val="en-GB"/>
        </w:rPr>
        <w:t>FFS what exactly AS layer stores</w:t>
      </w:r>
    </w:p>
    <w:p>
      <w:pPr>
        <w:pStyle w:val="72"/>
        <w:rPr>
          <w:rFonts w:ascii="Calibri" w:hAnsi="Calibri" w:cs="Calibri"/>
          <w:sz w:val="22"/>
          <w:szCs w:val="22"/>
          <w:lang w:val="en-GB"/>
        </w:rPr>
      </w:pPr>
      <w:r>
        <w:rPr>
          <w:lang w:val="en-GB"/>
        </w:rPr>
        <w:t xml:space="preserve">Same as the RRC_CONNECTED state, when the UE transfer to the IDLE state, the UE APP layer should store QoE configurations </w:t>
      </w:r>
      <w:r>
        <w:rPr>
          <w:highlight w:val="yellow"/>
          <w:lang w:val="en-GB"/>
        </w:rPr>
        <w:t>(at least QoE container)</w:t>
      </w:r>
      <w:r>
        <w:rPr>
          <w:lang w:val="en-GB"/>
        </w:rPr>
        <w:t xml:space="preserve">for MBS broadcast. </w:t>
      </w:r>
      <w:r>
        <w:rPr>
          <w:highlight w:val="yellow"/>
          <w:lang w:val="en-GB"/>
        </w:rPr>
        <w:t>FFS what exactly is sent to AL.</w:t>
      </w:r>
    </w:p>
    <w:p>
      <w:pPr>
        <w:overflowPunct w:val="0"/>
        <w:autoSpaceDE w:val="0"/>
        <w:autoSpaceDN w:val="0"/>
        <w:adjustRightInd w:val="0"/>
        <w:spacing w:before="156" w:beforeLines="50"/>
        <w:textAlignment w:val="baseline"/>
      </w:pPr>
      <w:r>
        <w:t xml:space="preserve">In this contribution, a comprehensive discussion on </w:t>
      </w:r>
      <w:r>
        <w:rPr>
          <w:lang w:val="sv-SE" w:eastAsia="zh-CN"/>
        </w:rPr>
        <w:t>QMC in RRC_IDLE and RRC_INACTIVE</w:t>
      </w:r>
      <w:r>
        <w:t xml:space="preserve"> will be </w:t>
      </w:r>
      <w:r>
        <w:rPr>
          <w:rFonts w:hint="eastAsia"/>
          <w:lang w:eastAsia="zh-CN"/>
        </w:rPr>
        <w:t>conducted</w:t>
      </w:r>
      <w:r>
        <w:t>.</w:t>
      </w:r>
    </w:p>
    <w:p>
      <w:pPr>
        <w:pStyle w:val="2"/>
      </w:pPr>
      <w:r>
        <w:rPr>
          <w:rFonts w:hint="eastAsia"/>
          <w:lang w:eastAsia="zh-CN"/>
        </w:rPr>
        <w:t>2</w:t>
      </w:r>
      <w:r>
        <w:tab/>
      </w:r>
      <w:r>
        <w:t>Discussion</w:t>
      </w:r>
    </w:p>
    <w:p>
      <w:pPr>
        <w:pStyle w:val="3"/>
        <w:rPr>
          <w:lang w:val="en-US" w:eastAsia="zh-CN"/>
        </w:rPr>
      </w:pPr>
      <w:bookmarkStart w:id="3" w:name="_Hlk109915489"/>
      <w:r>
        <w:rPr>
          <w:rFonts w:hint="eastAsia"/>
          <w:lang w:eastAsia="zh-CN"/>
        </w:rPr>
        <w:t>2.1</w:t>
      </w:r>
      <w:r>
        <w:rPr>
          <w:lang w:eastAsia="zh-CN"/>
        </w:rPr>
        <w:t xml:space="preserve"> </w:t>
      </w:r>
      <w:bookmarkStart w:id="4" w:name="_Hlk131500079"/>
      <w:r>
        <w:rPr>
          <w:lang w:eastAsia="zh-CN"/>
        </w:rPr>
        <w:t>RRCRelease for MBS QoE</w:t>
      </w:r>
      <w:bookmarkEnd w:id="4"/>
    </w:p>
    <w:p>
      <w:pPr>
        <w:rPr>
          <w:lang w:eastAsia="zh-CN"/>
        </w:rPr>
      </w:pP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last</w:t>
      </w:r>
      <w:r>
        <w:rPr>
          <w:lang w:eastAsia="zh-CN"/>
        </w:rPr>
        <w:t xml:space="preserve"> </w:t>
      </w:r>
      <w:r>
        <w:rPr>
          <w:rFonts w:hint="eastAsia"/>
          <w:lang w:eastAsia="zh-CN"/>
        </w:rPr>
        <w:t>meeting</w:t>
      </w:r>
      <w:r>
        <w:rPr>
          <w:lang w:eastAsia="zh-CN"/>
        </w:rPr>
        <w:t>, the consensus of RAN2 was that RRCReconfiguration and RRCResume can perform QoE configuration in Rel-18.</w:t>
      </w:r>
    </w:p>
    <w:p>
      <w:pPr>
        <w:rPr>
          <w:lang w:eastAsia="zh-CN"/>
        </w:rPr>
      </w:pPr>
      <w:r>
        <w:rPr>
          <w:rFonts w:hint="eastAsia"/>
          <w:lang w:eastAsia="zh-CN"/>
        </w:rPr>
        <w:t>W</w:t>
      </w:r>
      <w:r>
        <w:rPr>
          <w:lang w:eastAsia="zh-CN"/>
        </w:rPr>
        <w:t>e note that in RAN3 118[2], the agreements on QMC in RRC_IDLE and RRC_INACTIVE is as follows: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pStyle w:val="87"/>
              <w:rPr>
                <w:rFonts w:eastAsia="MS Mincho"/>
                <w:i/>
                <w:iCs/>
                <w:color w:val="00B050"/>
                <w:sz w:val="16"/>
                <w:szCs w:val="16"/>
              </w:rPr>
            </w:pPr>
            <w:r>
              <w:rPr>
                <w:rFonts w:eastAsia="MS Mincho"/>
                <w:i/>
                <w:iCs/>
                <w:color w:val="00B050"/>
                <w:sz w:val="16"/>
                <w:szCs w:val="16"/>
              </w:rPr>
              <w:t>Use the same set of parameters in QMC configuration for all RRC states.</w:t>
            </w:r>
          </w:p>
          <w:p>
            <w:pPr>
              <w:pStyle w:val="87"/>
              <w:rPr>
                <w:rFonts w:eastAsia="MS Mincho"/>
                <w:i/>
                <w:iCs/>
                <w:color w:val="00B050"/>
                <w:sz w:val="16"/>
                <w:szCs w:val="16"/>
              </w:rPr>
            </w:pPr>
            <w:r>
              <w:rPr>
                <w:rFonts w:eastAsia="MS Mincho"/>
                <w:i/>
                <w:iCs/>
                <w:color w:val="00B050"/>
                <w:sz w:val="16"/>
                <w:szCs w:val="16"/>
              </w:rPr>
              <w:t>RAN3 assumes that there is no need to request QoE measurements per UE RRC state.</w:t>
            </w:r>
          </w:p>
        </w:tc>
      </w:tr>
    </w:tbl>
    <w:p>
      <w:pPr>
        <w:rPr>
          <w:lang w:eastAsia="zh-CN"/>
        </w:rPr>
      </w:pPr>
      <w:r>
        <w:rPr>
          <w:lang w:eastAsia="zh-CN"/>
        </w:rPr>
        <w:t>It can be concluded that from RAN3’s perspective, QMC configuration should keep consistent during all RRC states. This feature is beneficial for QoE configuration and reporting.</w:t>
      </w:r>
    </w:p>
    <w:p>
      <w:pPr>
        <w:rPr>
          <w:lang w:eastAsia="zh-CN"/>
        </w:rPr>
      </w:pPr>
      <w:r>
        <w:rPr>
          <w:rFonts w:hint="eastAsia"/>
          <w:lang w:eastAsia="zh-CN"/>
        </w:rPr>
        <w:t>T</w:t>
      </w:r>
      <w:r>
        <w:rPr>
          <w:lang w:eastAsia="zh-CN"/>
        </w:rPr>
        <w:t xml:space="preserve">herefore, we think that even if RRCRelease were to be introduced for MBS QoE configuration, the purpose for that should </w:t>
      </w:r>
      <w:r>
        <w:rPr>
          <w:rFonts w:hint="eastAsia"/>
          <w:lang w:eastAsia="zh-CN"/>
        </w:rPr>
        <w:t>not</w:t>
      </w:r>
      <w:r>
        <w:rPr>
          <w:lang w:eastAsia="zh-CN"/>
        </w:rPr>
        <w:t xml:space="preserve"> be to modify MBS QoE configuration. If a scenario arises where RAN2 find it necessary to modify MBS QoE configuration, RAN3 should be informed.</w:t>
      </w:r>
    </w:p>
    <w:p>
      <w:pPr>
        <w:rPr>
          <w:b/>
          <w:bCs/>
          <w:lang w:eastAsia="zh-CN"/>
        </w:rPr>
      </w:pPr>
      <w:r>
        <w:rPr>
          <w:b/>
          <w:bCs/>
          <w:lang w:eastAsia="zh-CN"/>
        </w:rPr>
        <w:t>Observation 1: Based on RAN3's conclusion, there is no need to modify MBS QMC configuration via RRCRelease.</w:t>
      </w:r>
    </w:p>
    <w:p>
      <w:pPr>
        <w:rPr>
          <w:lang w:eastAsia="zh-CN"/>
        </w:rPr>
      </w:pPr>
      <w:r>
        <w:rPr>
          <w:lang w:eastAsia="zh-CN"/>
        </w:rPr>
        <w:t xml:space="preserve">But on the other hand, we do not think that RRCRelease should be precluded to </w:t>
      </w:r>
      <w:r>
        <w:rPr>
          <w:rFonts w:hint="eastAsia"/>
          <w:lang w:eastAsia="zh-CN"/>
        </w:rPr>
        <w:t>perform</w:t>
      </w:r>
      <w:r>
        <w:rPr>
          <w:lang w:eastAsia="zh-CN"/>
        </w:rPr>
        <w:t xml:space="preserve"> QoE configuration at all, especially when NW is going to add or remove MBS QoE configuration for UE in RRC_CONNECTED states, where RRCRelease can be used to add or remove MBS QoE configuration.</w:t>
      </w:r>
    </w:p>
    <w:p>
      <w:pPr>
        <w:rPr>
          <w:b/>
          <w:bCs/>
          <w:lang w:eastAsia="zh-CN"/>
        </w:rPr>
      </w:pPr>
      <w:r>
        <w:rPr>
          <w:b/>
          <w:bCs/>
          <w:lang w:eastAsia="zh-CN"/>
        </w:rPr>
        <w:t>Proposal 1: In Rel-18, RRCRelease can be used to add or release QoE configuration only.</w:t>
      </w:r>
    </w:p>
    <w:p>
      <w:pPr>
        <w:rPr>
          <w:lang w:eastAsia="zh-CN"/>
        </w:rPr>
      </w:pPr>
      <w:r>
        <w:rPr>
          <w:lang w:eastAsia="zh-CN"/>
        </w:rPr>
        <w:t>Although we believe that there can be some differences in MBS QoE configuration in the RRC_CONNECTED and other RRC states, for example, the MBS MC and UC can have a longer measurement period in non RRC_CONNECTED states.</w:t>
      </w:r>
    </w:p>
    <w:p>
      <w:pPr>
        <w:rPr>
          <w:lang w:eastAsia="zh-CN"/>
        </w:rPr>
      </w:pPr>
      <w:r>
        <w:rPr>
          <w:lang w:eastAsia="zh-CN"/>
        </w:rPr>
        <w:t>However, considering RAN3 thinks that such requirements are not strong at the moment. Therefore, the conclusions of RAN3 can be used as a baseline for RAN2’s further work.</w:t>
      </w:r>
    </w:p>
    <w:p>
      <w:pPr>
        <w:rPr>
          <w:b/>
          <w:bCs/>
          <w:lang w:eastAsia="zh-CN"/>
        </w:rPr>
      </w:pPr>
      <w:r>
        <w:rPr>
          <w:b/>
          <w:bCs/>
          <w:lang w:eastAsia="zh-CN"/>
        </w:rPr>
        <w:t>Proposal 2: RAN2 is kindly asked to agree that MBS QoE configuration can be used in all RRC states without additional RRC signaling, based on RAN3's conclusion.</w:t>
      </w:r>
    </w:p>
    <w:p>
      <w:pPr>
        <w:rPr>
          <w:lang w:eastAsia="zh-CN"/>
        </w:rPr>
      </w:pPr>
      <w:r>
        <w:rPr>
          <w:lang w:eastAsia="zh-CN"/>
        </w:rPr>
        <w:t xml:space="preserve">In addition, since RAN3 </w:t>
      </w:r>
      <w:r>
        <w:rPr>
          <w:rFonts w:hint="eastAsia"/>
          <w:lang w:eastAsia="zh-CN"/>
        </w:rPr>
        <w:t>thinks</w:t>
      </w:r>
      <w:r>
        <w:rPr>
          <w:lang w:eastAsia="zh-CN"/>
        </w:rPr>
        <w:t xml:space="preserve"> the QoE configuration to be the same for all RRC states, it is likely that NW will not configure MBS QoE parameters in RRCRelease </w:t>
      </w:r>
      <w:r>
        <w:rPr>
          <w:rFonts w:hint="eastAsia"/>
          <w:lang w:eastAsia="zh-CN"/>
        </w:rPr>
        <w:t>for</w:t>
      </w:r>
      <w:r>
        <w:rPr>
          <w:lang w:eastAsia="zh-CN"/>
        </w:rPr>
        <w:t xml:space="preserve"> </w:t>
      </w:r>
      <w:r>
        <w:rPr>
          <w:rFonts w:hint="eastAsia"/>
          <w:lang w:eastAsia="zh-CN"/>
        </w:rPr>
        <w:t>UE</w:t>
      </w:r>
      <w:r>
        <w:rPr>
          <w:lang w:eastAsia="zh-CN"/>
        </w:rPr>
        <w:t xml:space="preserve"> </w:t>
      </w:r>
      <w:r>
        <w:rPr>
          <w:rFonts w:hint="eastAsia"/>
          <w:lang w:eastAsia="zh-CN"/>
        </w:rPr>
        <w:t>who</w:t>
      </w:r>
      <w:r>
        <w:rPr>
          <w:lang w:eastAsia="zh-CN"/>
        </w:rPr>
        <w:t xml:space="preserve"> </w:t>
      </w:r>
      <w:r>
        <w:rPr>
          <w:rFonts w:hint="eastAsia"/>
          <w:lang w:eastAsia="zh-CN"/>
        </w:rPr>
        <w:t>already</w:t>
      </w:r>
      <w:r>
        <w:rPr>
          <w:lang w:eastAsia="zh-CN"/>
        </w:rPr>
        <w:t xml:space="preserve"> </w:t>
      </w:r>
      <w:r>
        <w:rPr>
          <w:rFonts w:hint="eastAsia"/>
          <w:lang w:eastAsia="zh-CN"/>
        </w:rPr>
        <w:t>has</w:t>
      </w:r>
      <w:r>
        <w:rPr>
          <w:lang w:eastAsia="zh-CN"/>
        </w:rPr>
        <w:t xml:space="preserve"> such configuration but will continue with the ] configuration in non RRC_CONNECTED states. Therefore, NW needs a method to identify whether UE has the ability to perform QMC in non RRC_CONNECTED states, if without this ability, MBS QoE configuration of those users should be released via RRCRelease.</w:t>
      </w:r>
    </w:p>
    <w:p>
      <w:pPr>
        <w:rPr>
          <w:b/>
          <w:bCs/>
          <w:lang w:eastAsia="zh-CN"/>
        </w:rPr>
      </w:pPr>
      <w:r>
        <w:rPr>
          <w:b/>
          <w:bCs/>
          <w:lang w:eastAsia="zh-CN"/>
        </w:rPr>
        <w:t>Proposal 3: RAN2 is kindly asked to introduce a new UE capability to indicate RAN of whether UE can perform MBS QoE in RRC_IDLE and RRC_INACTIVE.</w:t>
      </w:r>
    </w:p>
    <w:p>
      <w:pPr>
        <w:rPr>
          <w:lang w:eastAsia="zh-CN"/>
        </w:rPr>
      </w:pPr>
      <w:r>
        <w:rPr>
          <w:rFonts w:hint="eastAsia"/>
          <w:lang w:eastAsia="zh-CN"/>
        </w:rPr>
        <w:t>With</w:t>
      </w:r>
      <w:r>
        <w:rPr>
          <w:lang w:eastAsia="zh-CN"/>
        </w:rPr>
        <w:t xml:space="preserve"> such capability, NW can </w:t>
      </w:r>
      <w:r>
        <w:rPr>
          <w:rFonts w:hint="eastAsia"/>
          <w:lang w:eastAsia="zh-CN"/>
        </w:rPr>
        <w:t>add</w:t>
      </w:r>
      <w:r>
        <w:rPr>
          <w:lang w:eastAsia="zh-CN"/>
        </w:rPr>
        <w:t xml:space="preserve"> </w:t>
      </w:r>
      <w:r>
        <w:rPr>
          <w:rFonts w:hint="eastAsia"/>
          <w:lang w:eastAsia="zh-CN"/>
        </w:rPr>
        <w:t>or</w:t>
      </w:r>
      <w:r>
        <w:rPr>
          <w:lang w:eastAsia="zh-CN"/>
        </w:rPr>
        <w:t xml:space="preserve"> release MBS QoE configuration for UEs. We believe this is easier to implement and has less specification impact. The only concern we have is whether NW can find configurations for all RRC states, which should be possible regarding to the conclusions of RAN3.</w:t>
      </w:r>
    </w:p>
    <w:p>
      <w:pPr>
        <w:pStyle w:val="3"/>
        <w:rPr>
          <w:lang w:val="sv-SE" w:eastAsia="zh-CN"/>
        </w:rPr>
      </w:pPr>
      <w:r>
        <w:rPr>
          <w:rFonts w:hint="eastAsia"/>
          <w:lang w:eastAsia="zh-CN"/>
        </w:rPr>
        <w:t>2.</w:t>
      </w:r>
      <w:r>
        <w:rPr>
          <w:lang w:eastAsia="zh-CN"/>
        </w:rPr>
        <w:t>2</w:t>
      </w:r>
      <w:r>
        <w:rPr>
          <w:rFonts w:hint="eastAsia"/>
          <w:lang w:eastAsia="zh-CN"/>
        </w:rPr>
        <w:t xml:space="preserve"> </w:t>
      </w:r>
      <w:bookmarkEnd w:id="3"/>
      <w:r>
        <w:rPr>
          <w:lang w:val="sv-SE" w:eastAsia="zh-CN"/>
        </w:rPr>
        <w:t>AS layer buffer size</w:t>
      </w:r>
    </w:p>
    <w:p>
      <w:pPr>
        <w:rPr>
          <w:lang w:val="sv-SE" w:eastAsia="zh-CN"/>
        </w:rPr>
      </w:pPr>
      <w:r>
        <w:rPr>
          <w:lang w:val="sv-SE" w:eastAsia="zh-CN"/>
        </w:rPr>
        <w:t xml:space="preserve">There are many arguments in the last meeting that the 64KiB memory reserved for </w:t>
      </w:r>
      <w:r>
        <w:rPr>
          <w:rFonts w:hint="eastAsia"/>
          <w:lang w:val="sv-SE" w:eastAsia="zh-CN"/>
        </w:rPr>
        <w:t>paused</w:t>
      </w:r>
      <w:r>
        <w:rPr>
          <w:lang w:val="sv-SE" w:eastAsia="zh-CN"/>
        </w:rPr>
        <w:t xml:space="preserve"> QoE can be reused </w:t>
      </w:r>
      <w:r>
        <w:rPr>
          <w:rFonts w:hint="eastAsia"/>
          <w:lang w:val="sv-SE" w:eastAsia="zh-CN"/>
        </w:rPr>
        <w:t>for</w:t>
      </w:r>
      <w:r>
        <w:rPr>
          <w:lang w:val="sv-SE" w:eastAsia="zh-CN"/>
        </w:rPr>
        <w:t xml:space="preserve"> </w:t>
      </w:r>
      <w:r>
        <w:rPr>
          <w:rFonts w:hint="eastAsia"/>
          <w:lang w:val="sv-SE" w:eastAsia="zh-CN"/>
        </w:rPr>
        <w:t>MBS</w:t>
      </w:r>
      <w:r>
        <w:rPr>
          <w:lang w:val="sv-SE" w:eastAsia="zh-CN"/>
        </w:rPr>
        <w:t xml:space="preserve"> </w:t>
      </w:r>
      <w:r>
        <w:rPr>
          <w:rFonts w:hint="eastAsia"/>
          <w:lang w:val="sv-SE" w:eastAsia="zh-CN"/>
        </w:rPr>
        <w:t>QoE</w:t>
      </w:r>
      <w:r>
        <w:rPr>
          <w:lang w:val="sv-SE" w:eastAsia="zh-CN"/>
        </w:rPr>
        <w:t xml:space="preserve">, and we think this argument has some validity. Since there will be no </w:t>
      </w:r>
      <w:r>
        <w:rPr>
          <w:rFonts w:hint="eastAsia"/>
          <w:lang w:val="sv-SE" w:eastAsia="zh-CN"/>
        </w:rPr>
        <w:t>paused</w:t>
      </w:r>
      <w:r>
        <w:rPr>
          <w:lang w:val="sv-SE" w:eastAsia="zh-CN"/>
        </w:rPr>
        <w:t xml:space="preserve"> QoE jobs in </w:t>
      </w:r>
      <w:r>
        <w:rPr>
          <w:lang w:eastAsia="zh-CN"/>
        </w:rPr>
        <w:t>non RRC_CONNECTED</w:t>
      </w:r>
      <w:r>
        <w:rPr>
          <w:lang w:val="sv-SE" w:eastAsia="zh-CN"/>
        </w:rPr>
        <w:t xml:space="preserve"> state, the reserved memory for paused QoE is </w:t>
      </w:r>
      <w:r>
        <w:rPr>
          <w:rFonts w:hint="eastAsia"/>
          <w:lang w:val="sv-SE" w:eastAsia="zh-CN"/>
        </w:rPr>
        <w:t>free</w:t>
      </w:r>
      <w:r>
        <w:rPr>
          <w:lang w:val="sv-SE" w:eastAsia="zh-CN"/>
        </w:rPr>
        <w:t xml:space="preserve"> </w:t>
      </w:r>
      <w:r>
        <w:rPr>
          <w:rFonts w:hint="eastAsia"/>
          <w:lang w:val="sv-SE" w:eastAsia="zh-CN"/>
        </w:rPr>
        <w:t>to</w:t>
      </w:r>
      <w:r>
        <w:rPr>
          <w:lang w:val="sv-SE" w:eastAsia="zh-CN"/>
        </w:rPr>
        <w:t xml:space="preserve"> </w:t>
      </w:r>
      <w:r>
        <w:rPr>
          <w:rFonts w:hint="eastAsia"/>
          <w:lang w:val="sv-SE" w:eastAsia="zh-CN"/>
        </w:rPr>
        <w:t>use</w:t>
      </w:r>
      <w:r>
        <w:rPr>
          <w:lang w:val="sv-SE" w:eastAsia="zh-CN"/>
        </w:rPr>
        <w:t>.</w:t>
      </w:r>
    </w:p>
    <w:p>
      <w:pPr>
        <w:rPr>
          <w:lang w:eastAsia="zh-CN"/>
        </w:rPr>
      </w:pPr>
      <w:r>
        <w:rPr>
          <w:lang w:val="sv-SE" w:eastAsia="zh-CN"/>
        </w:rPr>
        <w:t>Considering that UE can stay in the RRC_IDLE for several hours, it is also reasonable to introduce a larger buffer since 64KiB is introducded for temporary scenario like RAN overload</w:t>
      </w:r>
      <w:r>
        <w:rPr>
          <w:lang w:eastAsia="zh-CN"/>
        </w:rPr>
        <w:t xml:space="preserve">, which is significantly </w:t>
      </w:r>
      <w:r>
        <w:rPr>
          <w:rFonts w:hint="eastAsia"/>
          <w:lang w:eastAsia="zh-CN"/>
        </w:rPr>
        <w:t>shorter</w:t>
      </w:r>
      <w:r>
        <w:rPr>
          <w:lang w:eastAsia="zh-CN"/>
        </w:rPr>
        <w:t xml:space="preserve"> </w:t>
      </w:r>
      <w:r>
        <w:rPr>
          <w:rFonts w:hint="eastAsia"/>
          <w:lang w:eastAsia="zh-CN"/>
        </w:rPr>
        <w:t>than</w:t>
      </w:r>
      <w:r>
        <w:rPr>
          <w:lang w:eastAsia="zh-CN"/>
        </w:rPr>
        <w:t xml:space="preserve"> how long UE can stay in </w:t>
      </w:r>
      <w:r>
        <w:rPr>
          <w:rFonts w:hint="eastAsia"/>
          <w:lang w:eastAsia="zh-CN"/>
        </w:rPr>
        <w:t>RRC</w:t>
      </w:r>
      <w:r>
        <w:rPr>
          <w:lang w:eastAsia="zh-CN"/>
        </w:rPr>
        <w:t>_IDLE.</w:t>
      </w:r>
    </w:p>
    <w:p>
      <w:pPr>
        <w:rPr>
          <w:b/>
          <w:bCs/>
          <w:lang w:eastAsia="zh-CN"/>
        </w:rPr>
      </w:pPr>
      <w:r>
        <w:rPr>
          <w:rFonts w:hint="eastAsia"/>
          <w:b/>
          <w:bCs/>
          <w:lang w:eastAsia="zh-CN"/>
        </w:rPr>
        <w:t>Observation 2:</w:t>
      </w:r>
      <w:r>
        <w:rPr>
          <w:b/>
          <w:bCs/>
          <w:lang w:eastAsia="zh-CN"/>
        </w:rPr>
        <w:t xml:space="preserve"> </w:t>
      </w:r>
      <w:r>
        <w:rPr>
          <w:rFonts w:hint="eastAsia"/>
          <w:b/>
          <w:bCs/>
          <w:lang w:eastAsia="zh-CN"/>
        </w:rPr>
        <w:t xml:space="preserve">Paused QoE </w:t>
      </w:r>
      <w:r>
        <w:rPr>
          <w:b/>
          <w:bCs/>
          <w:lang w:eastAsia="zh-CN"/>
        </w:rPr>
        <w:t>memory</w:t>
      </w:r>
      <w:r>
        <w:rPr>
          <w:rFonts w:hint="eastAsia"/>
          <w:b/>
          <w:bCs/>
          <w:lang w:eastAsia="zh-CN"/>
        </w:rPr>
        <w:t xml:space="preserve"> can be reused to store QoE reports in RRC_IDLE and RRC_INACTIVE</w:t>
      </w:r>
      <w:r>
        <w:rPr>
          <w:b/>
          <w:bCs/>
          <w:lang w:eastAsia="zh-CN"/>
        </w:rPr>
        <w:t>, but may be not enough</w:t>
      </w:r>
      <w:r>
        <w:rPr>
          <w:rFonts w:hint="eastAsia"/>
          <w:b/>
          <w:bCs/>
          <w:lang w:eastAsia="zh-CN"/>
        </w:rPr>
        <w:t>.</w:t>
      </w:r>
    </w:p>
    <w:p>
      <w:pPr>
        <w:rPr>
          <w:lang w:eastAsia="zh-CN"/>
        </w:rPr>
      </w:pPr>
      <w:r>
        <w:rPr>
          <w:lang w:eastAsia="zh-CN"/>
        </w:rPr>
        <w:t xml:space="preserve">The conclusion of the </w:t>
      </w:r>
      <w:r>
        <w:rPr>
          <w:rFonts w:hint="eastAsia"/>
          <w:lang w:eastAsia="zh-CN"/>
        </w:rPr>
        <w:t>previous</w:t>
      </w:r>
      <w:r>
        <w:rPr>
          <w:lang w:eastAsia="zh-CN"/>
        </w:rPr>
        <w:t xml:space="preserve"> </w:t>
      </w:r>
      <w:r>
        <w:rPr>
          <w:rFonts w:hint="eastAsia"/>
          <w:lang w:eastAsia="zh-CN"/>
        </w:rPr>
        <w:t>meeting</w:t>
      </w:r>
      <w:r>
        <w:rPr>
          <w:lang w:eastAsia="zh-CN"/>
        </w:rPr>
        <w:t xml:space="preserve">s was that 64 KiB is sufficient for Paused QoE. Therefore, since this reserved memory is </w:t>
      </w:r>
      <w:r>
        <w:rPr>
          <w:rFonts w:hint="eastAsia"/>
          <w:lang w:eastAsia="zh-CN"/>
        </w:rPr>
        <w:t>originally</w:t>
      </w:r>
      <w:r>
        <w:rPr>
          <w:lang w:eastAsia="zh-CN"/>
        </w:rPr>
        <w:t xml:space="preserve"> used for Paused QoE, it is not appropriate to expand this memory sole</w:t>
      </w:r>
      <w:r>
        <w:rPr>
          <w:rFonts w:hint="eastAsia"/>
          <w:lang w:eastAsia="zh-CN"/>
        </w:rPr>
        <w:t>ly</w:t>
      </w:r>
      <w:r>
        <w:rPr>
          <w:lang w:eastAsia="zh-CN"/>
        </w:rPr>
        <w:t xml:space="preserve"> </w:t>
      </w:r>
      <w:r>
        <w:rPr>
          <w:rFonts w:hint="eastAsia"/>
          <w:lang w:eastAsia="zh-CN"/>
        </w:rPr>
        <w:t>for</w:t>
      </w:r>
      <w:r>
        <w:rPr>
          <w:lang w:eastAsia="zh-CN"/>
        </w:rPr>
        <w:t xml:space="preserve"> </w:t>
      </w:r>
      <w:r>
        <w:rPr>
          <w:rFonts w:hint="eastAsia"/>
          <w:lang w:eastAsia="zh-CN"/>
        </w:rPr>
        <w:t>MBS</w:t>
      </w:r>
      <w:r>
        <w:rPr>
          <w:lang w:eastAsia="zh-CN"/>
        </w:rPr>
        <w:t xml:space="preserve"> </w:t>
      </w:r>
      <w:r>
        <w:rPr>
          <w:rFonts w:hint="eastAsia"/>
          <w:lang w:eastAsia="zh-CN"/>
        </w:rPr>
        <w:t>QoE</w:t>
      </w:r>
      <w:r>
        <w:rPr>
          <w:lang w:eastAsia="zh-CN"/>
        </w:rPr>
        <w:t xml:space="preserve">. We </w:t>
      </w:r>
      <w:r>
        <w:rPr>
          <w:rFonts w:hint="eastAsia"/>
          <w:lang w:eastAsia="zh-CN"/>
        </w:rPr>
        <w:t>think</w:t>
      </w:r>
      <w:r>
        <w:rPr>
          <w:lang w:eastAsia="zh-CN"/>
        </w:rPr>
        <w:t xml:space="preserve"> that there are two approaches here:</w:t>
      </w:r>
    </w:p>
    <w:p>
      <w:pPr>
        <w:rPr>
          <w:lang w:eastAsia="zh-CN"/>
        </w:rPr>
      </w:pPr>
      <w:r>
        <w:rPr>
          <w:lang w:eastAsia="zh-CN"/>
        </w:rPr>
        <w:t>1) to add a lower boundary of memory size of MBS QoE in UE capability description and require all UEs that can perform QMC in RRC_IDLE and RRC_INACTIVE have a reserved memory larger than the upper boundary. The details of this value can be discussed later.</w:t>
      </w:r>
    </w:p>
    <w:p>
      <w:pPr>
        <w:rPr>
          <w:lang w:eastAsia="zh-CN"/>
        </w:rPr>
      </w:pPr>
      <w:r>
        <w:rPr>
          <w:lang w:eastAsia="zh-CN"/>
        </w:rPr>
        <w:t>2) to introduce a new UE capability for the UE to report its closest lower boundary of memory size, the lower boundary can have multiple levels, such as 128Kib, 256Kib, 512Kib, etc. And 64KiB should not be present here because this is the reserved memory for paused QoE that all users should have.</w:t>
      </w:r>
    </w:p>
    <w:p>
      <w:pPr>
        <w:rPr>
          <w:lang w:eastAsia="zh-CN"/>
        </w:rPr>
      </w:pPr>
      <w:r>
        <w:rPr>
          <w:lang w:eastAsia="zh-CN"/>
        </w:rPr>
        <w:t xml:space="preserve">Whichever of these approaches is taken, we believe it is necessary to make the </w:t>
      </w:r>
      <w:r>
        <w:rPr>
          <w:rFonts w:hint="eastAsia"/>
          <w:lang w:eastAsia="zh-CN"/>
        </w:rPr>
        <w:t>memory</w:t>
      </w:r>
      <w:r>
        <w:rPr>
          <w:lang w:eastAsia="zh-CN"/>
        </w:rPr>
        <w:t xml:space="preserve"> size known to the NW so that the network can optimize the QoE configuration </w:t>
      </w:r>
      <w:r>
        <w:rPr>
          <w:rFonts w:hint="eastAsia"/>
          <w:lang w:eastAsia="zh-CN"/>
        </w:rPr>
        <w:t>to</w:t>
      </w:r>
      <w:r>
        <w:rPr>
          <w:lang w:eastAsia="zh-CN"/>
        </w:rPr>
        <w:t xml:space="preserve"> </w:t>
      </w:r>
      <w:r>
        <w:rPr>
          <w:rFonts w:hint="eastAsia"/>
          <w:lang w:eastAsia="zh-CN"/>
        </w:rPr>
        <w:t xml:space="preserve">ensure </w:t>
      </w:r>
      <w:r>
        <w:rPr>
          <w:lang w:eastAsia="zh-CN"/>
        </w:rPr>
        <w:t>that MBS QoE reports from non RRC_CONNECTED state do not run out of memory as much as possible to avoid discarding QoE reports at the AS or APP layer.</w:t>
      </w:r>
    </w:p>
    <w:p>
      <w:pPr>
        <w:rPr>
          <w:b/>
          <w:bCs/>
          <w:lang w:eastAsia="zh-CN"/>
        </w:rPr>
      </w:pPr>
      <w:r>
        <w:rPr>
          <w:b/>
          <w:bCs/>
          <w:lang w:eastAsia="zh-CN"/>
        </w:rPr>
        <w:t>Proposal 4: RAN2 is kindly asked to discussion the following approach on AS layer memory for MBS QoE,</w:t>
      </w:r>
    </w:p>
    <w:p>
      <w:pPr>
        <w:rPr>
          <w:b/>
          <w:bCs/>
          <w:lang w:eastAsia="zh-CN"/>
        </w:rPr>
      </w:pPr>
      <w:r>
        <w:rPr>
          <w:b/>
          <w:bCs/>
          <w:lang w:eastAsia="zh-CN"/>
        </w:rPr>
        <w:tab/>
      </w:r>
      <w:r>
        <w:rPr>
          <w:b/>
          <w:bCs/>
          <w:lang w:eastAsia="zh-CN"/>
        </w:rPr>
        <w:t>Opt1: Add a note in UE capability on the minimal AS memory size for MBS QoE, FFS the memory size.</w:t>
      </w:r>
    </w:p>
    <w:p>
      <w:pPr>
        <w:rPr>
          <w:b/>
          <w:bCs/>
          <w:lang w:eastAsia="zh-CN"/>
        </w:rPr>
      </w:pPr>
      <w:r>
        <w:rPr>
          <w:b/>
          <w:bCs/>
          <w:lang w:eastAsia="zh-CN"/>
        </w:rPr>
        <w:tab/>
      </w:r>
      <w:r>
        <w:rPr>
          <w:b/>
          <w:bCs/>
          <w:lang w:eastAsia="zh-CN"/>
        </w:rPr>
        <w:t>Opt2: Agree to let UE reports AS memory size in UE capability</w:t>
      </w:r>
    </w:p>
    <w:p>
      <w:pPr>
        <w:pStyle w:val="2"/>
      </w:pPr>
      <w:r>
        <w:rPr>
          <w:rFonts w:hint="eastAsia"/>
          <w:lang w:eastAsia="zh-CN"/>
        </w:rPr>
        <w:t>3</w:t>
      </w:r>
      <w:r>
        <w:tab/>
      </w:r>
      <w:r>
        <w:t>Summary</w:t>
      </w:r>
    </w:p>
    <w:p>
      <w:pPr>
        <w:rPr>
          <w:lang w:eastAsia="zh-CN"/>
        </w:rPr>
      </w:pPr>
      <w:r>
        <w:t xml:space="preserve">This </w:t>
      </w:r>
      <w:r>
        <w:rPr>
          <w:rFonts w:hint="eastAsia"/>
          <w:lang w:eastAsia="zh-CN"/>
        </w:rPr>
        <w:t>contribution discusses potential</w:t>
      </w:r>
      <w:r>
        <w:rPr>
          <w:lang w:eastAsia="zh-CN"/>
        </w:rPr>
        <w:t xml:space="preserve"> </w:t>
      </w:r>
      <w:r>
        <w:rPr>
          <w:rFonts w:hint="eastAsia"/>
          <w:lang w:eastAsia="zh-CN"/>
        </w:rPr>
        <w:t>capacity</w:t>
      </w:r>
      <w:r>
        <w:rPr>
          <w:lang w:eastAsia="zh-CN"/>
        </w:rPr>
        <w:t xml:space="preserve"> </w:t>
      </w:r>
      <w:r>
        <w:rPr>
          <w:rFonts w:hint="eastAsia"/>
          <w:lang w:eastAsia="zh-CN"/>
        </w:rPr>
        <w:t>enhancement</w:t>
      </w:r>
      <w:r>
        <w:rPr>
          <w:lang w:eastAsia="zh-CN"/>
        </w:rPr>
        <w:t xml:space="preserve"> </w:t>
      </w:r>
      <w:r>
        <w:rPr>
          <w:rFonts w:hint="eastAsia"/>
          <w:lang w:eastAsia="zh-CN"/>
        </w:rPr>
        <w:t>for</w:t>
      </w:r>
      <w:r>
        <w:rPr>
          <w:lang w:eastAsia="zh-CN"/>
        </w:rPr>
        <w:t xml:space="preserve"> MBS QoE</w:t>
      </w:r>
      <w:r>
        <w:rPr>
          <w:rFonts w:hint="eastAsia"/>
          <w:lang w:eastAsia="zh-CN"/>
        </w:rPr>
        <w:t xml:space="preserve">, </w:t>
      </w:r>
      <w:r>
        <w:rPr>
          <w:lang w:eastAsia="zh-CN"/>
        </w:rPr>
        <w:t>the following are the proposals that may be taken into consideration.</w:t>
      </w:r>
    </w:p>
    <w:p>
      <w:pPr>
        <w:rPr>
          <w:i/>
          <w:iCs/>
          <w:u w:val="single"/>
          <w:lang w:eastAsia="zh-CN"/>
        </w:rPr>
      </w:pPr>
      <w:r>
        <w:rPr>
          <w:i/>
          <w:iCs/>
          <w:u w:val="single"/>
          <w:lang w:eastAsia="zh-CN"/>
        </w:rPr>
        <w:t>RRCRelease for MBS QoE aspect:</w:t>
      </w:r>
    </w:p>
    <w:p>
      <w:pPr>
        <w:rPr>
          <w:b/>
          <w:bCs/>
          <w:lang w:eastAsia="zh-CN"/>
        </w:rPr>
      </w:pPr>
      <w:r>
        <w:rPr>
          <w:b/>
          <w:bCs/>
          <w:lang w:eastAsia="zh-CN"/>
        </w:rPr>
        <w:t>Observation 1: Based on RAN3's conclusion, there is no need to modify MBS QMC configuration via RRCRelease.</w:t>
      </w:r>
    </w:p>
    <w:p>
      <w:pPr>
        <w:rPr>
          <w:b/>
          <w:bCs/>
          <w:lang w:eastAsia="zh-CN"/>
        </w:rPr>
      </w:pPr>
      <w:r>
        <w:rPr>
          <w:b/>
          <w:bCs/>
          <w:lang w:eastAsia="zh-CN"/>
        </w:rPr>
        <w:t>Proposal 1: In Rel-18, RRCRelease can be used to add or release QoE configuration only.</w:t>
      </w:r>
    </w:p>
    <w:p>
      <w:pPr>
        <w:rPr>
          <w:b/>
          <w:bCs/>
          <w:lang w:eastAsia="zh-CN"/>
        </w:rPr>
      </w:pPr>
      <w:r>
        <w:rPr>
          <w:b/>
          <w:bCs/>
          <w:lang w:eastAsia="zh-CN"/>
        </w:rPr>
        <w:t>Proposal 2: RAN2 is kindly asked to agree that MBS QoE configuration can be used in all RRC states without additional RRC signaling, based on RAN3's conclusion.</w:t>
      </w:r>
    </w:p>
    <w:p>
      <w:pPr>
        <w:rPr>
          <w:b/>
          <w:bCs/>
          <w:lang w:eastAsia="zh-CN"/>
        </w:rPr>
      </w:pPr>
      <w:r>
        <w:rPr>
          <w:b/>
          <w:bCs/>
          <w:lang w:eastAsia="zh-CN"/>
        </w:rPr>
        <w:t>Proposal 3: RAN2 is kindly asked to introduce a new UE capability to indicate RAN of whether UE can perform MBS QoE in RRC_IDLE and RRC_INACTIVE.</w:t>
      </w:r>
    </w:p>
    <w:p>
      <w:pPr>
        <w:rPr>
          <w:i/>
          <w:iCs/>
          <w:u w:val="single"/>
          <w:lang w:eastAsia="zh-CN"/>
        </w:rPr>
      </w:pPr>
      <w:r>
        <w:rPr>
          <w:i/>
          <w:iCs/>
          <w:u w:val="single"/>
          <w:lang w:eastAsia="zh-CN"/>
        </w:rPr>
        <w:t>AS layer buffer size aspect:</w:t>
      </w:r>
    </w:p>
    <w:p>
      <w:pPr>
        <w:rPr>
          <w:b/>
          <w:bCs/>
          <w:lang w:eastAsia="zh-CN"/>
        </w:rPr>
      </w:pPr>
      <w:r>
        <w:rPr>
          <w:rFonts w:hint="eastAsia"/>
          <w:b/>
          <w:bCs/>
          <w:lang w:eastAsia="zh-CN"/>
        </w:rPr>
        <w:t>Observation 2:</w:t>
      </w:r>
      <w:r>
        <w:rPr>
          <w:b/>
          <w:bCs/>
          <w:lang w:eastAsia="zh-CN"/>
        </w:rPr>
        <w:t xml:space="preserve"> </w:t>
      </w:r>
      <w:r>
        <w:rPr>
          <w:rFonts w:hint="eastAsia"/>
          <w:b/>
          <w:bCs/>
          <w:lang w:eastAsia="zh-CN"/>
        </w:rPr>
        <w:t xml:space="preserve">Paused QoE </w:t>
      </w:r>
      <w:r>
        <w:rPr>
          <w:b/>
          <w:bCs/>
          <w:lang w:eastAsia="zh-CN"/>
        </w:rPr>
        <w:t>memory</w:t>
      </w:r>
      <w:r>
        <w:rPr>
          <w:rFonts w:hint="eastAsia"/>
          <w:b/>
          <w:bCs/>
          <w:lang w:eastAsia="zh-CN"/>
        </w:rPr>
        <w:t xml:space="preserve"> can be reused to store QoE reports in RRC_IDLE and RRC_INACTIVE</w:t>
      </w:r>
      <w:r>
        <w:rPr>
          <w:b/>
          <w:bCs/>
          <w:lang w:eastAsia="zh-CN"/>
        </w:rPr>
        <w:t>, but may be not enough</w:t>
      </w:r>
      <w:r>
        <w:rPr>
          <w:rFonts w:hint="eastAsia"/>
          <w:b/>
          <w:bCs/>
          <w:lang w:eastAsia="zh-CN"/>
        </w:rPr>
        <w:t>.</w:t>
      </w:r>
    </w:p>
    <w:p>
      <w:pPr>
        <w:rPr>
          <w:b/>
          <w:bCs/>
          <w:lang w:eastAsia="zh-CN"/>
        </w:rPr>
      </w:pPr>
      <w:r>
        <w:rPr>
          <w:b/>
          <w:bCs/>
          <w:lang w:eastAsia="zh-CN"/>
        </w:rPr>
        <w:t>Proposal 4: RAN2 is kindly asked to discussion the following approach on AS layer memory for MBS QoE,</w:t>
      </w:r>
    </w:p>
    <w:p>
      <w:pPr>
        <w:rPr>
          <w:b/>
          <w:bCs/>
          <w:lang w:eastAsia="zh-CN"/>
        </w:rPr>
      </w:pPr>
      <w:r>
        <w:rPr>
          <w:b/>
          <w:bCs/>
          <w:lang w:eastAsia="zh-CN"/>
        </w:rPr>
        <w:tab/>
      </w:r>
      <w:r>
        <w:rPr>
          <w:b/>
          <w:bCs/>
          <w:lang w:eastAsia="zh-CN"/>
        </w:rPr>
        <w:t>Opt1: Add a note in UE capability on the minimal AS memory size for MBS QoE, FFS the memory size.</w:t>
      </w:r>
    </w:p>
    <w:p>
      <w:pPr>
        <w:rPr>
          <w:b/>
          <w:bCs/>
          <w:lang w:eastAsia="zh-CN"/>
        </w:rPr>
      </w:pPr>
      <w:r>
        <w:rPr>
          <w:b/>
          <w:bCs/>
          <w:lang w:eastAsia="zh-CN"/>
        </w:rPr>
        <w:tab/>
      </w:r>
      <w:r>
        <w:rPr>
          <w:b/>
          <w:bCs/>
          <w:lang w:eastAsia="zh-CN"/>
        </w:rPr>
        <w:t>Opt2: Agree to let UE reports AS memory size in UE capability</w:t>
      </w:r>
    </w:p>
    <w:p>
      <w:pPr>
        <w:pStyle w:val="2"/>
      </w:pPr>
      <w:r>
        <w:t>References</w:t>
      </w:r>
    </w:p>
    <w:p>
      <w:pPr>
        <w:pStyle w:val="69"/>
        <w:numPr>
          <w:ilvl w:val="0"/>
          <w:numId w:val="2"/>
        </w:numPr>
        <w:overflowPunct w:val="0"/>
        <w:autoSpaceDE w:val="0"/>
        <w:autoSpaceDN w:val="0"/>
        <w:adjustRightInd w:val="0"/>
        <w:textAlignment w:val="baseline"/>
        <w:rPr>
          <w:lang w:eastAsia="zh-CN"/>
        </w:rPr>
      </w:pPr>
      <w:bookmarkStart w:id="5" w:name="_Hlk127465550"/>
      <w:r>
        <w:rPr>
          <w:lang w:eastAsia="zh-CN"/>
        </w:rPr>
        <w:t>R2-2301902</w:t>
      </w:r>
      <w:r>
        <w:rPr>
          <w:rFonts w:hint="eastAsia"/>
          <w:lang w:eastAsia="zh-CN"/>
        </w:rPr>
        <w:t>,</w:t>
      </w:r>
      <w:r>
        <w:rPr>
          <w:lang w:eastAsia="zh-CN"/>
        </w:rPr>
        <w:t xml:space="preserve"> Report on LTE legacy, XR, QoE and MUSIM, Vice Chairman (Nokia)</w:t>
      </w:r>
      <w:bookmarkEnd w:id="5"/>
    </w:p>
    <w:p>
      <w:pPr>
        <w:pStyle w:val="69"/>
        <w:numPr>
          <w:ilvl w:val="0"/>
          <w:numId w:val="2"/>
        </w:numPr>
        <w:overflowPunct w:val="0"/>
        <w:autoSpaceDE w:val="0"/>
        <w:autoSpaceDN w:val="0"/>
        <w:adjustRightInd w:val="0"/>
        <w:textAlignment w:val="baseline"/>
        <w:rPr>
          <w:lang w:eastAsia="zh-CN"/>
        </w:rPr>
      </w:pPr>
      <w:r>
        <w:rPr>
          <w:lang w:eastAsia="zh-CN"/>
        </w:rPr>
        <w:t>RAN3_119_agenda_20230303_EOM2</w:t>
      </w:r>
    </w:p>
    <w:sectPr>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MS Mincho">
    <w:panose1 w:val="02020609040205080304"/>
    <w:charset w:val="80"/>
    <w:family w:val="modern"/>
    <w:pitch w:val="default"/>
    <w:sig w:usb0="A00002BF" w:usb1="68C7FCFB" w:usb2="00000010" w:usb3="00000000" w:csb0="4002009F" w:csb1="DFD7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350C99"/>
    <w:multiLevelType w:val="multilevel"/>
    <w:tmpl w:val="29350C9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70146DC0"/>
    <w:multiLevelType w:val="multilevel"/>
    <w:tmpl w:val="70146DC0"/>
    <w:lvl w:ilvl="0" w:tentative="0">
      <w:start w:val="1"/>
      <w:numFmt w:val="bullet"/>
      <w:pStyle w:val="7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2E1"/>
    <w:rsid w:val="0000192A"/>
    <w:rsid w:val="00001DCD"/>
    <w:rsid w:val="0000277F"/>
    <w:rsid w:val="00002A40"/>
    <w:rsid w:val="000041E9"/>
    <w:rsid w:val="00006154"/>
    <w:rsid w:val="00006FD7"/>
    <w:rsid w:val="00006FED"/>
    <w:rsid w:val="00007258"/>
    <w:rsid w:val="00007279"/>
    <w:rsid w:val="00007837"/>
    <w:rsid w:val="00007C69"/>
    <w:rsid w:val="000101E7"/>
    <w:rsid w:val="00010BD7"/>
    <w:rsid w:val="00012E86"/>
    <w:rsid w:val="00012F04"/>
    <w:rsid w:val="000143BC"/>
    <w:rsid w:val="00014AD5"/>
    <w:rsid w:val="00015563"/>
    <w:rsid w:val="00017465"/>
    <w:rsid w:val="00020144"/>
    <w:rsid w:val="0002219B"/>
    <w:rsid w:val="000225EC"/>
    <w:rsid w:val="000234FC"/>
    <w:rsid w:val="0002461C"/>
    <w:rsid w:val="000257AF"/>
    <w:rsid w:val="00027E1E"/>
    <w:rsid w:val="000302C1"/>
    <w:rsid w:val="00030F97"/>
    <w:rsid w:val="000328AC"/>
    <w:rsid w:val="00032C1B"/>
    <w:rsid w:val="00033397"/>
    <w:rsid w:val="000341C8"/>
    <w:rsid w:val="00034330"/>
    <w:rsid w:val="0003450E"/>
    <w:rsid w:val="00034701"/>
    <w:rsid w:val="00035677"/>
    <w:rsid w:val="000365C3"/>
    <w:rsid w:val="00037584"/>
    <w:rsid w:val="00040095"/>
    <w:rsid w:val="000411B5"/>
    <w:rsid w:val="0004128D"/>
    <w:rsid w:val="000412FF"/>
    <w:rsid w:val="00041F3A"/>
    <w:rsid w:val="00042582"/>
    <w:rsid w:val="0004360D"/>
    <w:rsid w:val="000440A2"/>
    <w:rsid w:val="000441DF"/>
    <w:rsid w:val="00044A39"/>
    <w:rsid w:val="00045F9B"/>
    <w:rsid w:val="00046B69"/>
    <w:rsid w:val="000511B8"/>
    <w:rsid w:val="000519FD"/>
    <w:rsid w:val="00054A85"/>
    <w:rsid w:val="00055FBC"/>
    <w:rsid w:val="0005608E"/>
    <w:rsid w:val="00056408"/>
    <w:rsid w:val="00056D1F"/>
    <w:rsid w:val="0005773D"/>
    <w:rsid w:val="0005778D"/>
    <w:rsid w:val="00057B90"/>
    <w:rsid w:val="0006003C"/>
    <w:rsid w:val="0006135D"/>
    <w:rsid w:val="00062587"/>
    <w:rsid w:val="00064B04"/>
    <w:rsid w:val="00064C0B"/>
    <w:rsid w:val="00065482"/>
    <w:rsid w:val="000654B5"/>
    <w:rsid w:val="00066341"/>
    <w:rsid w:val="000706CE"/>
    <w:rsid w:val="00070EA0"/>
    <w:rsid w:val="00071AB1"/>
    <w:rsid w:val="00071BB5"/>
    <w:rsid w:val="00071E2F"/>
    <w:rsid w:val="00072E13"/>
    <w:rsid w:val="000751FE"/>
    <w:rsid w:val="000753A3"/>
    <w:rsid w:val="00075453"/>
    <w:rsid w:val="00077C88"/>
    <w:rsid w:val="00080512"/>
    <w:rsid w:val="0008088B"/>
    <w:rsid w:val="00080F24"/>
    <w:rsid w:val="00080F4B"/>
    <w:rsid w:val="00081D06"/>
    <w:rsid w:val="00082318"/>
    <w:rsid w:val="000840D3"/>
    <w:rsid w:val="00084292"/>
    <w:rsid w:val="000844C6"/>
    <w:rsid w:val="0008450C"/>
    <w:rsid w:val="00084F2F"/>
    <w:rsid w:val="00087299"/>
    <w:rsid w:val="00087CC8"/>
    <w:rsid w:val="00090222"/>
    <w:rsid w:val="00090433"/>
    <w:rsid w:val="00090468"/>
    <w:rsid w:val="00090675"/>
    <w:rsid w:val="00090B68"/>
    <w:rsid w:val="00090F71"/>
    <w:rsid w:val="000910D0"/>
    <w:rsid w:val="00092D8B"/>
    <w:rsid w:val="00093977"/>
    <w:rsid w:val="00093C96"/>
    <w:rsid w:val="000948B0"/>
    <w:rsid w:val="000951EC"/>
    <w:rsid w:val="000953DD"/>
    <w:rsid w:val="00096258"/>
    <w:rsid w:val="00096968"/>
    <w:rsid w:val="000A0C20"/>
    <w:rsid w:val="000A3174"/>
    <w:rsid w:val="000A39A9"/>
    <w:rsid w:val="000A3B6D"/>
    <w:rsid w:val="000A72EA"/>
    <w:rsid w:val="000A787B"/>
    <w:rsid w:val="000B04E9"/>
    <w:rsid w:val="000B16AC"/>
    <w:rsid w:val="000B24DD"/>
    <w:rsid w:val="000B2987"/>
    <w:rsid w:val="000B40A3"/>
    <w:rsid w:val="000B43CA"/>
    <w:rsid w:val="000B4D19"/>
    <w:rsid w:val="000B62C4"/>
    <w:rsid w:val="000B67D1"/>
    <w:rsid w:val="000B7367"/>
    <w:rsid w:val="000B76C8"/>
    <w:rsid w:val="000B7BCF"/>
    <w:rsid w:val="000C00F8"/>
    <w:rsid w:val="000C12A4"/>
    <w:rsid w:val="000C21AD"/>
    <w:rsid w:val="000C250A"/>
    <w:rsid w:val="000C30DF"/>
    <w:rsid w:val="000C3205"/>
    <w:rsid w:val="000C3CC5"/>
    <w:rsid w:val="000C44E9"/>
    <w:rsid w:val="000C49AB"/>
    <w:rsid w:val="000C522B"/>
    <w:rsid w:val="000C530F"/>
    <w:rsid w:val="000C57AE"/>
    <w:rsid w:val="000C6A83"/>
    <w:rsid w:val="000C7D5D"/>
    <w:rsid w:val="000D28BB"/>
    <w:rsid w:val="000D2BF3"/>
    <w:rsid w:val="000D387A"/>
    <w:rsid w:val="000D3BA3"/>
    <w:rsid w:val="000D403F"/>
    <w:rsid w:val="000D4BA5"/>
    <w:rsid w:val="000D58AB"/>
    <w:rsid w:val="000D5904"/>
    <w:rsid w:val="000D5969"/>
    <w:rsid w:val="000D5E9B"/>
    <w:rsid w:val="000D6063"/>
    <w:rsid w:val="000E2843"/>
    <w:rsid w:val="000E3041"/>
    <w:rsid w:val="000E35CE"/>
    <w:rsid w:val="000E4119"/>
    <w:rsid w:val="000E433C"/>
    <w:rsid w:val="000E5B5C"/>
    <w:rsid w:val="000E6382"/>
    <w:rsid w:val="000E745A"/>
    <w:rsid w:val="000F0EBE"/>
    <w:rsid w:val="000F1BA8"/>
    <w:rsid w:val="000F2BCB"/>
    <w:rsid w:val="000F4B76"/>
    <w:rsid w:val="000F68E5"/>
    <w:rsid w:val="000F77A1"/>
    <w:rsid w:val="000F79E2"/>
    <w:rsid w:val="00101A1D"/>
    <w:rsid w:val="00102DAD"/>
    <w:rsid w:val="00103CB2"/>
    <w:rsid w:val="00104088"/>
    <w:rsid w:val="00104632"/>
    <w:rsid w:val="00104DC4"/>
    <w:rsid w:val="00105D5B"/>
    <w:rsid w:val="00106312"/>
    <w:rsid w:val="001102B9"/>
    <w:rsid w:val="001103B9"/>
    <w:rsid w:val="001104C7"/>
    <w:rsid w:val="001122A4"/>
    <w:rsid w:val="00112B1A"/>
    <w:rsid w:val="00113378"/>
    <w:rsid w:val="00113DD5"/>
    <w:rsid w:val="001142B9"/>
    <w:rsid w:val="00114BDD"/>
    <w:rsid w:val="00114D8D"/>
    <w:rsid w:val="001163C5"/>
    <w:rsid w:val="00117BD2"/>
    <w:rsid w:val="001200FE"/>
    <w:rsid w:val="00120844"/>
    <w:rsid w:val="001213DB"/>
    <w:rsid w:val="00123746"/>
    <w:rsid w:val="00123D42"/>
    <w:rsid w:val="001241A8"/>
    <w:rsid w:val="00124709"/>
    <w:rsid w:val="0012471E"/>
    <w:rsid w:val="001258E0"/>
    <w:rsid w:val="00125F18"/>
    <w:rsid w:val="00126992"/>
    <w:rsid w:val="00127A28"/>
    <w:rsid w:val="0013035C"/>
    <w:rsid w:val="00130F5A"/>
    <w:rsid w:val="001310EE"/>
    <w:rsid w:val="00131A94"/>
    <w:rsid w:val="001320DE"/>
    <w:rsid w:val="00132CD5"/>
    <w:rsid w:val="00137610"/>
    <w:rsid w:val="00137CAE"/>
    <w:rsid w:val="00140B1B"/>
    <w:rsid w:val="00141912"/>
    <w:rsid w:val="00141FE2"/>
    <w:rsid w:val="00142A63"/>
    <w:rsid w:val="00144219"/>
    <w:rsid w:val="00144413"/>
    <w:rsid w:val="00145075"/>
    <w:rsid w:val="0014532D"/>
    <w:rsid w:val="001453D9"/>
    <w:rsid w:val="00150408"/>
    <w:rsid w:val="00150512"/>
    <w:rsid w:val="001507BA"/>
    <w:rsid w:val="00150F71"/>
    <w:rsid w:val="001516D1"/>
    <w:rsid w:val="00151926"/>
    <w:rsid w:val="00151A9D"/>
    <w:rsid w:val="0015286A"/>
    <w:rsid w:val="00152D29"/>
    <w:rsid w:val="001542DF"/>
    <w:rsid w:val="001546F6"/>
    <w:rsid w:val="00154993"/>
    <w:rsid w:val="00154F31"/>
    <w:rsid w:val="001568A4"/>
    <w:rsid w:val="00157185"/>
    <w:rsid w:val="001577BD"/>
    <w:rsid w:val="001579CF"/>
    <w:rsid w:val="00160AF6"/>
    <w:rsid w:val="00161229"/>
    <w:rsid w:val="001619CF"/>
    <w:rsid w:val="00162162"/>
    <w:rsid w:val="00162191"/>
    <w:rsid w:val="00162308"/>
    <w:rsid w:val="00162313"/>
    <w:rsid w:val="00162430"/>
    <w:rsid w:val="00163204"/>
    <w:rsid w:val="00163F06"/>
    <w:rsid w:val="00164B71"/>
    <w:rsid w:val="00164FA6"/>
    <w:rsid w:val="0016554E"/>
    <w:rsid w:val="00165993"/>
    <w:rsid w:val="00167080"/>
    <w:rsid w:val="0017065F"/>
    <w:rsid w:val="001713DD"/>
    <w:rsid w:val="00171628"/>
    <w:rsid w:val="00172042"/>
    <w:rsid w:val="00172EEE"/>
    <w:rsid w:val="0017361A"/>
    <w:rsid w:val="00173650"/>
    <w:rsid w:val="001741A0"/>
    <w:rsid w:val="0017477F"/>
    <w:rsid w:val="00174F9F"/>
    <w:rsid w:val="00174FB8"/>
    <w:rsid w:val="00176B6A"/>
    <w:rsid w:val="001813F0"/>
    <w:rsid w:val="001816CD"/>
    <w:rsid w:val="001833C6"/>
    <w:rsid w:val="001846E7"/>
    <w:rsid w:val="001859A2"/>
    <w:rsid w:val="00185ACB"/>
    <w:rsid w:val="00185F5E"/>
    <w:rsid w:val="00186919"/>
    <w:rsid w:val="0018697C"/>
    <w:rsid w:val="001869A7"/>
    <w:rsid w:val="001874AF"/>
    <w:rsid w:val="001878AC"/>
    <w:rsid w:val="00190B91"/>
    <w:rsid w:val="00191215"/>
    <w:rsid w:val="00191912"/>
    <w:rsid w:val="0019221B"/>
    <w:rsid w:val="00192A6B"/>
    <w:rsid w:val="00193572"/>
    <w:rsid w:val="001939FA"/>
    <w:rsid w:val="00194CD0"/>
    <w:rsid w:val="0019632C"/>
    <w:rsid w:val="0019639F"/>
    <w:rsid w:val="001A01FD"/>
    <w:rsid w:val="001A02D9"/>
    <w:rsid w:val="001A0665"/>
    <w:rsid w:val="001A0A06"/>
    <w:rsid w:val="001A145C"/>
    <w:rsid w:val="001A192A"/>
    <w:rsid w:val="001A2281"/>
    <w:rsid w:val="001A2443"/>
    <w:rsid w:val="001A2746"/>
    <w:rsid w:val="001A2DC3"/>
    <w:rsid w:val="001A2FC2"/>
    <w:rsid w:val="001A58FD"/>
    <w:rsid w:val="001A6D8E"/>
    <w:rsid w:val="001A7D44"/>
    <w:rsid w:val="001B1C44"/>
    <w:rsid w:val="001B27B2"/>
    <w:rsid w:val="001B3707"/>
    <w:rsid w:val="001B3AA1"/>
    <w:rsid w:val="001B478E"/>
    <w:rsid w:val="001B49C9"/>
    <w:rsid w:val="001B4AFA"/>
    <w:rsid w:val="001B569B"/>
    <w:rsid w:val="001B7DF6"/>
    <w:rsid w:val="001C1C1C"/>
    <w:rsid w:val="001C1D60"/>
    <w:rsid w:val="001C28B2"/>
    <w:rsid w:val="001C2938"/>
    <w:rsid w:val="001C2D59"/>
    <w:rsid w:val="001C3639"/>
    <w:rsid w:val="001C3AA4"/>
    <w:rsid w:val="001C521E"/>
    <w:rsid w:val="001C5259"/>
    <w:rsid w:val="001C56B2"/>
    <w:rsid w:val="001C5A33"/>
    <w:rsid w:val="001C5DA4"/>
    <w:rsid w:val="001C5E6D"/>
    <w:rsid w:val="001C6C26"/>
    <w:rsid w:val="001C757C"/>
    <w:rsid w:val="001D09A7"/>
    <w:rsid w:val="001D10F4"/>
    <w:rsid w:val="001D217E"/>
    <w:rsid w:val="001D256B"/>
    <w:rsid w:val="001D2D9A"/>
    <w:rsid w:val="001D355B"/>
    <w:rsid w:val="001D3C37"/>
    <w:rsid w:val="001D4FB0"/>
    <w:rsid w:val="001D5050"/>
    <w:rsid w:val="001D52F1"/>
    <w:rsid w:val="001D53B0"/>
    <w:rsid w:val="001D53DE"/>
    <w:rsid w:val="001D58B8"/>
    <w:rsid w:val="001D64E5"/>
    <w:rsid w:val="001D6B79"/>
    <w:rsid w:val="001D7568"/>
    <w:rsid w:val="001D76AC"/>
    <w:rsid w:val="001E24BA"/>
    <w:rsid w:val="001E284D"/>
    <w:rsid w:val="001E3231"/>
    <w:rsid w:val="001E34D7"/>
    <w:rsid w:val="001E4CA4"/>
    <w:rsid w:val="001E54E2"/>
    <w:rsid w:val="001E64A7"/>
    <w:rsid w:val="001E70B5"/>
    <w:rsid w:val="001E7DF5"/>
    <w:rsid w:val="001F0D14"/>
    <w:rsid w:val="001F168B"/>
    <w:rsid w:val="001F1A3E"/>
    <w:rsid w:val="001F22FF"/>
    <w:rsid w:val="001F2DE5"/>
    <w:rsid w:val="001F3640"/>
    <w:rsid w:val="001F4321"/>
    <w:rsid w:val="001F5C44"/>
    <w:rsid w:val="001F637E"/>
    <w:rsid w:val="001F7831"/>
    <w:rsid w:val="001F7C4C"/>
    <w:rsid w:val="002002F5"/>
    <w:rsid w:val="002009F6"/>
    <w:rsid w:val="0020111A"/>
    <w:rsid w:val="0020116D"/>
    <w:rsid w:val="0020194A"/>
    <w:rsid w:val="002022A3"/>
    <w:rsid w:val="002029A9"/>
    <w:rsid w:val="002039D5"/>
    <w:rsid w:val="0020402E"/>
    <w:rsid w:val="00204045"/>
    <w:rsid w:val="00204AE9"/>
    <w:rsid w:val="00207DBE"/>
    <w:rsid w:val="00210C7B"/>
    <w:rsid w:val="00211383"/>
    <w:rsid w:val="00211A7D"/>
    <w:rsid w:val="00211B0E"/>
    <w:rsid w:val="00212425"/>
    <w:rsid w:val="00212659"/>
    <w:rsid w:val="0021364D"/>
    <w:rsid w:val="00215618"/>
    <w:rsid w:val="002156A8"/>
    <w:rsid w:val="00215A94"/>
    <w:rsid w:val="00215C7D"/>
    <w:rsid w:val="00215F9A"/>
    <w:rsid w:val="00216FA7"/>
    <w:rsid w:val="002171E0"/>
    <w:rsid w:val="002207CD"/>
    <w:rsid w:val="00220887"/>
    <w:rsid w:val="002222F9"/>
    <w:rsid w:val="00222C92"/>
    <w:rsid w:val="00223212"/>
    <w:rsid w:val="00224EDE"/>
    <w:rsid w:val="002256FD"/>
    <w:rsid w:val="0022606D"/>
    <w:rsid w:val="00226C8C"/>
    <w:rsid w:val="002275E8"/>
    <w:rsid w:val="00227D66"/>
    <w:rsid w:val="00231562"/>
    <w:rsid w:val="00234B95"/>
    <w:rsid w:val="002359EE"/>
    <w:rsid w:val="00235DAA"/>
    <w:rsid w:val="002367AC"/>
    <w:rsid w:val="002372BF"/>
    <w:rsid w:val="002377D5"/>
    <w:rsid w:val="002404BA"/>
    <w:rsid w:val="00240D0C"/>
    <w:rsid w:val="0024108F"/>
    <w:rsid w:val="00241931"/>
    <w:rsid w:val="00242697"/>
    <w:rsid w:val="00242A0F"/>
    <w:rsid w:val="00242D6B"/>
    <w:rsid w:val="00244D7B"/>
    <w:rsid w:val="00244F46"/>
    <w:rsid w:val="002459A8"/>
    <w:rsid w:val="00245DC9"/>
    <w:rsid w:val="00246CA0"/>
    <w:rsid w:val="00246EDB"/>
    <w:rsid w:val="002472F6"/>
    <w:rsid w:val="00251F10"/>
    <w:rsid w:val="00252CEC"/>
    <w:rsid w:val="00253C34"/>
    <w:rsid w:val="002554C0"/>
    <w:rsid w:val="0025573D"/>
    <w:rsid w:val="00255D12"/>
    <w:rsid w:val="00255FD9"/>
    <w:rsid w:val="00256CBA"/>
    <w:rsid w:val="00256D18"/>
    <w:rsid w:val="002578CB"/>
    <w:rsid w:val="0025793A"/>
    <w:rsid w:val="00260CE9"/>
    <w:rsid w:val="002610D9"/>
    <w:rsid w:val="0026124D"/>
    <w:rsid w:val="00261657"/>
    <w:rsid w:val="00262113"/>
    <w:rsid w:val="00263524"/>
    <w:rsid w:val="00263B10"/>
    <w:rsid w:val="0026430E"/>
    <w:rsid w:val="0026448F"/>
    <w:rsid w:val="00266AD4"/>
    <w:rsid w:val="00267141"/>
    <w:rsid w:val="002724AE"/>
    <w:rsid w:val="00272C8E"/>
    <w:rsid w:val="00273CB1"/>
    <w:rsid w:val="00273EAF"/>
    <w:rsid w:val="002747EC"/>
    <w:rsid w:val="00274B5E"/>
    <w:rsid w:val="002759D0"/>
    <w:rsid w:val="00276077"/>
    <w:rsid w:val="00276569"/>
    <w:rsid w:val="00276E63"/>
    <w:rsid w:val="00277DBA"/>
    <w:rsid w:val="00280137"/>
    <w:rsid w:val="0028023E"/>
    <w:rsid w:val="002821B6"/>
    <w:rsid w:val="002826DB"/>
    <w:rsid w:val="002841BD"/>
    <w:rsid w:val="00284D35"/>
    <w:rsid w:val="002855BF"/>
    <w:rsid w:val="00285770"/>
    <w:rsid w:val="002857B0"/>
    <w:rsid w:val="0028586E"/>
    <w:rsid w:val="00285D2F"/>
    <w:rsid w:val="0028683F"/>
    <w:rsid w:val="00286F6B"/>
    <w:rsid w:val="00287504"/>
    <w:rsid w:val="002906A1"/>
    <w:rsid w:val="0029141A"/>
    <w:rsid w:val="002914D5"/>
    <w:rsid w:val="00292355"/>
    <w:rsid w:val="00292A32"/>
    <w:rsid w:val="00292D60"/>
    <w:rsid w:val="00293014"/>
    <w:rsid w:val="002941D5"/>
    <w:rsid w:val="0029487A"/>
    <w:rsid w:val="00295C81"/>
    <w:rsid w:val="002965A2"/>
    <w:rsid w:val="00296B72"/>
    <w:rsid w:val="002A07A8"/>
    <w:rsid w:val="002A0C1A"/>
    <w:rsid w:val="002A2168"/>
    <w:rsid w:val="002A2ED3"/>
    <w:rsid w:val="002A32D7"/>
    <w:rsid w:val="002A412B"/>
    <w:rsid w:val="002A4838"/>
    <w:rsid w:val="002A50F4"/>
    <w:rsid w:val="002A74E7"/>
    <w:rsid w:val="002A7A23"/>
    <w:rsid w:val="002A7C31"/>
    <w:rsid w:val="002A7CEE"/>
    <w:rsid w:val="002B0DEB"/>
    <w:rsid w:val="002B100E"/>
    <w:rsid w:val="002B1A60"/>
    <w:rsid w:val="002B24E4"/>
    <w:rsid w:val="002B3267"/>
    <w:rsid w:val="002B37A4"/>
    <w:rsid w:val="002B3C62"/>
    <w:rsid w:val="002B4F31"/>
    <w:rsid w:val="002B5128"/>
    <w:rsid w:val="002B6AF6"/>
    <w:rsid w:val="002B6B39"/>
    <w:rsid w:val="002B73BE"/>
    <w:rsid w:val="002B7CE5"/>
    <w:rsid w:val="002C0563"/>
    <w:rsid w:val="002C09F6"/>
    <w:rsid w:val="002C0B4A"/>
    <w:rsid w:val="002C0F7E"/>
    <w:rsid w:val="002C175B"/>
    <w:rsid w:val="002C197A"/>
    <w:rsid w:val="002C297C"/>
    <w:rsid w:val="002C2AD1"/>
    <w:rsid w:val="002C2DD0"/>
    <w:rsid w:val="002C36B2"/>
    <w:rsid w:val="002C486C"/>
    <w:rsid w:val="002C4D2D"/>
    <w:rsid w:val="002C522B"/>
    <w:rsid w:val="002C548D"/>
    <w:rsid w:val="002C5E80"/>
    <w:rsid w:val="002C655E"/>
    <w:rsid w:val="002C6B6E"/>
    <w:rsid w:val="002D0BEF"/>
    <w:rsid w:val="002D0D4B"/>
    <w:rsid w:val="002D257A"/>
    <w:rsid w:val="002D2732"/>
    <w:rsid w:val="002D298D"/>
    <w:rsid w:val="002D2EC9"/>
    <w:rsid w:val="002D4081"/>
    <w:rsid w:val="002D5228"/>
    <w:rsid w:val="002D558B"/>
    <w:rsid w:val="002D5986"/>
    <w:rsid w:val="002D5A5C"/>
    <w:rsid w:val="002D7168"/>
    <w:rsid w:val="002E0040"/>
    <w:rsid w:val="002E01DD"/>
    <w:rsid w:val="002E1D57"/>
    <w:rsid w:val="002E1DAD"/>
    <w:rsid w:val="002E29C8"/>
    <w:rsid w:val="002E2D02"/>
    <w:rsid w:val="002E3461"/>
    <w:rsid w:val="002E3CCA"/>
    <w:rsid w:val="002E554B"/>
    <w:rsid w:val="002E5F33"/>
    <w:rsid w:val="002E61FD"/>
    <w:rsid w:val="002E74F0"/>
    <w:rsid w:val="002F0D22"/>
    <w:rsid w:val="002F1C04"/>
    <w:rsid w:val="002F28F5"/>
    <w:rsid w:val="002F321C"/>
    <w:rsid w:val="002F4305"/>
    <w:rsid w:val="002F44BD"/>
    <w:rsid w:val="002F4628"/>
    <w:rsid w:val="002F47B0"/>
    <w:rsid w:val="002F6353"/>
    <w:rsid w:val="002F6BAB"/>
    <w:rsid w:val="002F7F54"/>
    <w:rsid w:val="003014AE"/>
    <w:rsid w:val="00301F89"/>
    <w:rsid w:val="00302A77"/>
    <w:rsid w:val="00302D6B"/>
    <w:rsid w:val="003030CA"/>
    <w:rsid w:val="00304648"/>
    <w:rsid w:val="00304AD9"/>
    <w:rsid w:val="00304C2E"/>
    <w:rsid w:val="0030663A"/>
    <w:rsid w:val="00306E1E"/>
    <w:rsid w:val="00306F0D"/>
    <w:rsid w:val="00307576"/>
    <w:rsid w:val="00307CAF"/>
    <w:rsid w:val="00310CA1"/>
    <w:rsid w:val="00311D59"/>
    <w:rsid w:val="0031242E"/>
    <w:rsid w:val="00312664"/>
    <w:rsid w:val="00312E27"/>
    <w:rsid w:val="00312E35"/>
    <w:rsid w:val="00313562"/>
    <w:rsid w:val="00313BFD"/>
    <w:rsid w:val="00313F4C"/>
    <w:rsid w:val="0031467C"/>
    <w:rsid w:val="00314CD3"/>
    <w:rsid w:val="00314F6A"/>
    <w:rsid w:val="0031520A"/>
    <w:rsid w:val="00316170"/>
    <w:rsid w:val="00316EA8"/>
    <w:rsid w:val="003172DC"/>
    <w:rsid w:val="0031764D"/>
    <w:rsid w:val="00317DE9"/>
    <w:rsid w:val="00320389"/>
    <w:rsid w:val="00320884"/>
    <w:rsid w:val="00320E41"/>
    <w:rsid w:val="003211C9"/>
    <w:rsid w:val="0032311D"/>
    <w:rsid w:val="00323974"/>
    <w:rsid w:val="00324232"/>
    <w:rsid w:val="00324BE8"/>
    <w:rsid w:val="00324C92"/>
    <w:rsid w:val="00324EB5"/>
    <w:rsid w:val="00325C7B"/>
    <w:rsid w:val="00326069"/>
    <w:rsid w:val="0032656D"/>
    <w:rsid w:val="003265B1"/>
    <w:rsid w:val="00327025"/>
    <w:rsid w:val="0032757C"/>
    <w:rsid w:val="0033065E"/>
    <w:rsid w:val="0033071C"/>
    <w:rsid w:val="003314C1"/>
    <w:rsid w:val="00331C65"/>
    <w:rsid w:val="0033226A"/>
    <w:rsid w:val="0033229D"/>
    <w:rsid w:val="003338C3"/>
    <w:rsid w:val="00333B95"/>
    <w:rsid w:val="003366F8"/>
    <w:rsid w:val="00337547"/>
    <w:rsid w:val="0033778E"/>
    <w:rsid w:val="00337C8F"/>
    <w:rsid w:val="00340293"/>
    <w:rsid w:val="00340312"/>
    <w:rsid w:val="003417CA"/>
    <w:rsid w:val="00342CF7"/>
    <w:rsid w:val="003435BF"/>
    <w:rsid w:val="00343D41"/>
    <w:rsid w:val="00345696"/>
    <w:rsid w:val="00345FD6"/>
    <w:rsid w:val="003477E7"/>
    <w:rsid w:val="00351873"/>
    <w:rsid w:val="00351D31"/>
    <w:rsid w:val="003536A7"/>
    <w:rsid w:val="00353AF5"/>
    <w:rsid w:val="00354524"/>
    <w:rsid w:val="0035462D"/>
    <w:rsid w:val="0035491B"/>
    <w:rsid w:val="0035491C"/>
    <w:rsid w:val="00354DFE"/>
    <w:rsid w:val="0035627C"/>
    <w:rsid w:val="00356FD6"/>
    <w:rsid w:val="00357132"/>
    <w:rsid w:val="003577E7"/>
    <w:rsid w:val="00357B97"/>
    <w:rsid w:val="00360629"/>
    <w:rsid w:val="00360966"/>
    <w:rsid w:val="003613A6"/>
    <w:rsid w:val="003618E8"/>
    <w:rsid w:val="00362F33"/>
    <w:rsid w:val="00363A6D"/>
    <w:rsid w:val="00363C7B"/>
    <w:rsid w:val="00363F32"/>
    <w:rsid w:val="00365017"/>
    <w:rsid w:val="00366136"/>
    <w:rsid w:val="003666DE"/>
    <w:rsid w:val="003669B8"/>
    <w:rsid w:val="00367D22"/>
    <w:rsid w:val="003718CE"/>
    <w:rsid w:val="003723F0"/>
    <w:rsid w:val="003723F4"/>
    <w:rsid w:val="00372872"/>
    <w:rsid w:val="003730EC"/>
    <w:rsid w:val="00373774"/>
    <w:rsid w:val="003741C3"/>
    <w:rsid w:val="00374D1A"/>
    <w:rsid w:val="003757B7"/>
    <w:rsid w:val="0037787D"/>
    <w:rsid w:val="003803CA"/>
    <w:rsid w:val="0038079F"/>
    <w:rsid w:val="00380A4A"/>
    <w:rsid w:val="00380BFB"/>
    <w:rsid w:val="0038223F"/>
    <w:rsid w:val="00382AC9"/>
    <w:rsid w:val="00382F1A"/>
    <w:rsid w:val="003839A9"/>
    <w:rsid w:val="00384FC9"/>
    <w:rsid w:val="00385F69"/>
    <w:rsid w:val="003860EA"/>
    <w:rsid w:val="0038791C"/>
    <w:rsid w:val="00390F9A"/>
    <w:rsid w:val="00391D26"/>
    <w:rsid w:val="00391EDB"/>
    <w:rsid w:val="003921A4"/>
    <w:rsid w:val="00393186"/>
    <w:rsid w:val="003932D4"/>
    <w:rsid w:val="00394FC7"/>
    <w:rsid w:val="003954C4"/>
    <w:rsid w:val="003954C6"/>
    <w:rsid w:val="00395554"/>
    <w:rsid w:val="00395580"/>
    <w:rsid w:val="00395B00"/>
    <w:rsid w:val="00395EFC"/>
    <w:rsid w:val="003962EE"/>
    <w:rsid w:val="003963C0"/>
    <w:rsid w:val="00396D0F"/>
    <w:rsid w:val="003A098F"/>
    <w:rsid w:val="003A0F3C"/>
    <w:rsid w:val="003A1930"/>
    <w:rsid w:val="003A1B09"/>
    <w:rsid w:val="003A2D04"/>
    <w:rsid w:val="003A30F9"/>
    <w:rsid w:val="003A38D5"/>
    <w:rsid w:val="003A3B70"/>
    <w:rsid w:val="003A415E"/>
    <w:rsid w:val="003A43C5"/>
    <w:rsid w:val="003A43E1"/>
    <w:rsid w:val="003A4E73"/>
    <w:rsid w:val="003A4EAE"/>
    <w:rsid w:val="003A4EF9"/>
    <w:rsid w:val="003A6810"/>
    <w:rsid w:val="003A6F5B"/>
    <w:rsid w:val="003A790D"/>
    <w:rsid w:val="003A7A95"/>
    <w:rsid w:val="003B1243"/>
    <w:rsid w:val="003B1928"/>
    <w:rsid w:val="003B1B77"/>
    <w:rsid w:val="003B21D1"/>
    <w:rsid w:val="003B28BA"/>
    <w:rsid w:val="003B2EB8"/>
    <w:rsid w:val="003B402B"/>
    <w:rsid w:val="003B4033"/>
    <w:rsid w:val="003B40AD"/>
    <w:rsid w:val="003B4352"/>
    <w:rsid w:val="003B51DE"/>
    <w:rsid w:val="003B5A16"/>
    <w:rsid w:val="003B5A6D"/>
    <w:rsid w:val="003B5B9F"/>
    <w:rsid w:val="003B63C9"/>
    <w:rsid w:val="003B65DE"/>
    <w:rsid w:val="003C0902"/>
    <w:rsid w:val="003C11BB"/>
    <w:rsid w:val="003C1C27"/>
    <w:rsid w:val="003C1ECA"/>
    <w:rsid w:val="003C4412"/>
    <w:rsid w:val="003C4E37"/>
    <w:rsid w:val="003C59E3"/>
    <w:rsid w:val="003C6106"/>
    <w:rsid w:val="003C64A9"/>
    <w:rsid w:val="003C6EE5"/>
    <w:rsid w:val="003C71BD"/>
    <w:rsid w:val="003C7253"/>
    <w:rsid w:val="003D077C"/>
    <w:rsid w:val="003D0864"/>
    <w:rsid w:val="003D1900"/>
    <w:rsid w:val="003D1E0C"/>
    <w:rsid w:val="003D2DBC"/>
    <w:rsid w:val="003D3885"/>
    <w:rsid w:val="003D3D7C"/>
    <w:rsid w:val="003D4E00"/>
    <w:rsid w:val="003D60BB"/>
    <w:rsid w:val="003D62F9"/>
    <w:rsid w:val="003D7042"/>
    <w:rsid w:val="003D71B0"/>
    <w:rsid w:val="003E026D"/>
    <w:rsid w:val="003E16BE"/>
    <w:rsid w:val="003E1BC0"/>
    <w:rsid w:val="003E1F2D"/>
    <w:rsid w:val="003E2946"/>
    <w:rsid w:val="003E41C6"/>
    <w:rsid w:val="003E4A6A"/>
    <w:rsid w:val="003E4A9C"/>
    <w:rsid w:val="003E60CA"/>
    <w:rsid w:val="003E7110"/>
    <w:rsid w:val="003E735C"/>
    <w:rsid w:val="003E7657"/>
    <w:rsid w:val="003F037E"/>
    <w:rsid w:val="003F0760"/>
    <w:rsid w:val="003F13D7"/>
    <w:rsid w:val="003F1867"/>
    <w:rsid w:val="003F22E0"/>
    <w:rsid w:val="003F2ECB"/>
    <w:rsid w:val="003F436D"/>
    <w:rsid w:val="003F7075"/>
    <w:rsid w:val="003F7ED7"/>
    <w:rsid w:val="004000B4"/>
    <w:rsid w:val="00400D77"/>
    <w:rsid w:val="004013FA"/>
    <w:rsid w:val="00401443"/>
    <w:rsid w:val="00401855"/>
    <w:rsid w:val="004032C7"/>
    <w:rsid w:val="004035CF"/>
    <w:rsid w:val="00405800"/>
    <w:rsid w:val="00405B10"/>
    <w:rsid w:val="00405BDC"/>
    <w:rsid w:val="00405FF5"/>
    <w:rsid w:val="00406CD2"/>
    <w:rsid w:val="00407173"/>
    <w:rsid w:val="00407A10"/>
    <w:rsid w:val="00410CBA"/>
    <w:rsid w:val="00411158"/>
    <w:rsid w:val="00411778"/>
    <w:rsid w:val="004122F0"/>
    <w:rsid w:val="00412662"/>
    <w:rsid w:val="004135C7"/>
    <w:rsid w:val="00413B2D"/>
    <w:rsid w:val="00413D93"/>
    <w:rsid w:val="004153C2"/>
    <w:rsid w:val="0041688E"/>
    <w:rsid w:val="00416E97"/>
    <w:rsid w:val="004170B3"/>
    <w:rsid w:val="0041738F"/>
    <w:rsid w:val="0041744B"/>
    <w:rsid w:val="004174BD"/>
    <w:rsid w:val="00417527"/>
    <w:rsid w:val="00417BE2"/>
    <w:rsid w:val="00420154"/>
    <w:rsid w:val="00420AED"/>
    <w:rsid w:val="00421F52"/>
    <w:rsid w:val="0042432A"/>
    <w:rsid w:val="00424F43"/>
    <w:rsid w:val="00426D73"/>
    <w:rsid w:val="004308DB"/>
    <w:rsid w:val="004318C5"/>
    <w:rsid w:val="00432AE3"/>
    <w:rsid w:val="004338B5"/>
    <w:rsid w:val="00434D06"/>
    <w:rsid w:val="004377C8"/>
    <w:rsid w:val="00437D7E"/>
    <w:rsid w:val="00442883"/>
    <w:rsid w:val="00444227"/>
    <w:rsid w:val="0044530C"/>
    <w:rsid w:val="0044532C"/>
    <w:rsid w:val="0044596F"/>
    <w:rsid w:val="00445B25"/>
    <w:rsid w:val="00445C71"/>
    <w:rsid w:val="004461BA"/>
    <w:rsid w:val="004469C6"/>
    <w:rsid w:val="00446AE9"/>
    <w:rsid w:val="00446AF5"/>
    <w:rsid w:val="0045083D"/>
    <w:rsid w:val="0045180A"/>
    <w:rsid w:val="00456600"/>
    <w:rsid w:val="0045751F"/>
    <w:rsid w:val="0045781F"/>
    <w:rsid w:val="00460045"/>
    <w:rsid w:val="00460FAF"/>
    <w:rsid w:val="004616BF"/>
    <w:rsid w:val="00461F2A"/>
    <w:rsid w:val="00461F76"/>
    <w:rsid w:val="00462B38"/>
    <w:rsid w:val="0046374C"/>
    <w:rsid w:val="00464627"/>
    <w:rsid w:val="004659B8"/>
    <w:rsid w:val="00465D71"/>
    <w:rsid w:val="004660A0"/>
    <w:rsid w:val="0046637C"/>
    <w:rsid w:val="00466816"/>
    <w:rsid w:val="004702F2"/>
    <w:rsid w:val="0047042C"/>
    <w:rsid w:val="00471143"/>
    <w:rsid w:val="00472BC9"/>
    <w:rsid w:val="00472E3E"/>
    <w:rsid w:val="00472E50"/>
    <w:rsid w:val="00473FB0"/>
    <w:rsid w:val="00474381"/>
    <w:rsid w:val="00474B72"/>
    <w:rsid w:val="00476433"/>
    <w:rsid w:val="00476DF3"/>
    <w:rsid w:val="00477455"/>
    <w:rsid w:val="0047798F"/>
    <w:rsid w:val="00477A0D"/>
    <w:rsid w:val="00477D1C"/>
    <w:rsid w:val="00480077"/>
    <w:rsid w:val="004807E3"/>
    <w:rsid w:val="0048094D"/>
    <w:rsid w:val="0048130D"/>
    <w:rsid w:val="0048146D"/>
    <w:rsid w:val="00481508"/>
    <w:rsid w:val="00481B1E"/>
    <w:rsid w:val="00482C57"/>
    <w:rsid w:val="0048309D"/>
    <w:rsid w:val="0048396C"/>
    <w:rsid w:val="00484567"/>
    <w:rsid w:val="00484912"/>
    <w:rsid w:val="00484BC4"/>
    <w:rsid w:val="00484E46"/>
    <w:rsid w:val="00485882"/>
    <w:rsid w:val="0048599A"/>
    <w:rsid w:val="00485C77"/>
    <w:rsid w:val="0048786D"/>
    <w:rsid w:val="00487ACF"/>
    <w:rsid w:val="004908A9"/>
    <w:rsid w:val="00492E37"/>
    <w:rsid w:val="004932A1"/>
    <w:rsid w:val="00495C5A"/>
    <w:rsid w:val="00495FE0"/>
    <w:rsid w:val="00496D27"/>
    <w:rsid w:val="004974CC"/>
    <w:rsid w:val="004A0319"/>
    <w:rsid w:val="004A04DA"/>
    <w:rsid w:val="004A06B1"/>
    <w:rsid w:val="004A1443"/>
    <w:rsid w:val="004A1B65"/>
    <w:rsid w:val="004A21D1"/>
    <w:rsid w:val="004A2D59"/>
    <w:rsid w:val="004A2ED4"/>
    <w:rsid w:val="004A3CB6"/>
    <w:rsid w:val="004A4BC5"/>
    <w:rsid w:val="004A55DB"/>
    <w:rsid w:val="004A5F91"/>
    <w:rsid w:val="004A658C"/>
    <w:rsid w:val="004A6EB7"/>
    <w:rsid w:val="004B0513"/>
    <w:rsid w:val="004B2CFC"/>
    <w:rsid w:val="004B37FD"/>
    <w:rsid w:val="004B40D9"/>
    <w:rsid w:val="004B44A7"/>
    <w:rsid w:val="004B53E0"/>
    <w:rsid w:val="004B7076"/>
    <w:rsid w:val="004B79CE"/>
    <w:rsid w:val="004C1B85"/>
    <w:rsid w:val="004C36EC"/>
    <w:rsid w:val="004C389A"/>
    <w:rsid w:val="004C5504"/>
    <w:rsid w:val="004C5B89"/>
    <w:rsid w:val="004C728F"/>
    <w:rsid w:val="004C7E2A"/>
    <w:rsid w:val="004C7F13"/>
    <w:rsid w:val="004D0648"/>
    <w:rsid w:val="004D0719"/>
    <w:rsid w:val="004D0FBE"/>
    <w:rsid w:val="004D2113"/>
    <w:rsid w:val="004D3578"/>
    <w:rsid w:val="004D380D"/>
    <w:rsid w:val="004D4405"/>
    <w:rsid w:val="004D442B"/>
    <w:rsid w:val="004D4571"/>
    <w:rsid w:val="004D5900"/>
    <w:rsid w:val="004D5C40"/>
    <w:rsid w:val="004D6286"/>
    <w:rsid w:val="004D62BA"/>
    <w:rsid w:val="004D70D1"/>
    <w:rsid w:val="004D7ACA"/>
    <w:rsid w:val="004D7CF4"/>
    <w:rsid w:val="004E0455"/>
    <w:rsid w:val="004E1F6D"/>
    <w:rsid w:val="004E20B8"/>
    <w:rsid w:val="004E213A"/>
    <w:rsid w:val="004E2550"/>
    <w:rsid w:val="004E35B3"/>
    <w:rsid w:val="004E35DF"/>
    <w:rsid w:val="004E481C"/>
    <w:rsid w:val="004E4DC1"/>
    <w:rsid w:val="004E5707"/>
    <w:rsid w:val="004E5964"/>
    <w:rsid w:val="004E6678"/>
    <w:rsid w:val="004E6DCB"/>
    <w:rsid w:val="004E7988"/>
    <w:rsid w:val="004E7DA9"/>
    <w:rsid w:val="004F0B91"/>
    <w:rsid w:val="004F14E7"/>
    <w:rsid w:val="004F36E0"/>
    <w:rsid w:val="004F60E4"/>
    <w:rsid w:val="004F715E"/>
    <w:rsid w:val="004F7F9B"/>
    <w:rsid w:val="00500130"/>
    <w:rsid w:val="00500D11"/>
    <w:rsid w:val="00501465"/>
    <w:rsid w:val="00501538"/>
    <w:rsid w:val="0050168F"/>
    <w:rsid w:val="00501A24"/>
    <w:rsid w:val="00501A43"/>
    <w:rsid w:val="0050232A"/>
    <w:rsid w:val="0050242F"/>
    <w:rsid w:val="0050264A"/>
    <w:rsid w:val="00503171"/>
    <w:rsid w:val="00503C2E"/>
    <w:rsid w:val="005048BF"/>
    <w:rsid w:val="00504E7D"/>
    <w:rsid w:val="00505481"/>
    <w:rsid w:val="00506C28"/>
    <w:rsid w:val="0050795D"/>
    <w:rsid w:val="00507BD6"/>
    <w:rsid w:val="00507DCE"/>
    <w:rsid w:val="00510A64"/>
    <w:rsid w:val="005110C6"/>
    <w:rsid w:val="00511198"/>
    <w:rsid w:val="00511D0D"/>
    <w:rsid w:val="00511DB6"/>
    <w:rsid w:val="005135FF"/>
    <w:rsid w:val="005139AA"/>
    <w:rsid w:val="00513A52"/>
    <w:rsid w:val="00514801"/>
    <w:rsid w:val="0051578C"/>
    <w:rsid w:val="005166F7"/>
    <w:rsid w:val="0051690B"/>
    <w:rsid w:val="00516A16"/>
    <w:rsid w:val="00516B60"/>
    <w:rsid w:val="0051770A"/>
    <w:rsid w:val="00517A4C"/>
    <w:rsid w:val="00520274"/>
    <w:rsid w:val="00521B0D"/>
    <w:rsid w:val="00522B26"/>
    <w:rsid w:val="00523546"/>
    <w:rsid w:val="00523794"/>
    <w:rsid w:val="00523C41"/>
    <w:rsid w:val="00523F96"/>
    <w:rsid w:val="00524F84"/>
    <w:rsid w:val="005263CF"/>
    <w:rsid w:val="005266EF"/>
    <w:rsid w:val="00527F15"/>
    <w:rsid w:val="00530DD0"/>
    <w:rsid w:val="0053208B"/>
    <w:rsid w:val="00532BDB"/>
    <w:rsid w:val="00534278"/>
    <w:rsid w:val="00534DA0"/>
    <w:rsid w:val="005353ED"/>
    <w:rsid w:val="00535611"/>
    <w:rsid w:val="00535638"/>
    <w:rsid w:val="0053638F"/>
    <w:rsid w:val="00536477"/>
    <w:rsid w:val="0053657F"/>
    <w:rsid w:val="00537115"/>
    <w:rsid w:val="00540FE3"/>
    <w:rsid w:val="00541944"/>
    <w:rsid w:val="00541ACF"/>
    <w:rsid w:val="00542673"/>
    <w:rsid w:val="005434AD"/>
    <w:rsid w:val="005435E5"/>
    <w:rsid w:val="00543768"/>
    <w:rsid w:val="00543C8D"/>
    <w:rsid w:val="00543E6C"/>
    <w:rsid w:val="0054503E"/>
    <w:rsid w:val="00546A95"/>
    <w:rsid w:val="00547887"/>
    <w:rsid w:val="00547EBF"/>
    <w:rsid w:val="00550ACC"/>
    <w:rsid w:val="005510ED"/>
    <w:rsid w:val="00551D1B"/>
    <w:rsid w:val="00551ED6"/>
    <w:rsid w:val="00554E63"/>
    <w:rsid w:val="00555522"/>
    <w:rsid w:val="005556C1"/>
    <w:rsid w:val="0055576C"/>
    <w:rsid w:val="005567B1"/>
    <w:rsid w:val="00556F94"/>
    <w:rsid w:val="0055758F"/>
    <w:rsid w:val="00557EFD"/>
    <w:rsid w:val="005601B0"/>
    <w:rsid w:val="005601D2"/>
    <w:rsid w:val="0056025E"/>
    <w:rsid w:val="00561F7F"/>
    <w:rsid w:val="005633B2"/>
    <w:rsid w:val="005633EB"/>
    <w:rsid w:val="005637F0"/>
    <w:rsid w:val="00564295"/>
    <w:rsid w:val="0056469D"/>
    <w:rsid w:val="0056480F"/>
    <w:rsid w:val="00565087"/>
    <w:rsid w:val="0056540D"/>
    <w:rsid w:val="0056573F"/>
    <w:rsid w:val="00565CD8"/>
    <w:rsid w:val="005660E6"/>
    <w:rsid w:val="00566C86"/>
    <w:rsid w:val="00566DB0"/>
    <w:rsid w:val="0056709A"/>
    <w:rsid w:val="00567438"/>
    <w:rsid w:val="00567824"/>
    <w:rsid w:val="005679C4"/>
    <w:rsid w:val="00570816"/>
    <w:rsid w:val="0057085C"/>
    <w:rsid w:val="00570DEE"/>
    <w:rsid w:val="005720F2"/>
    <w:rsid w:val="0057245A"/>
    <w:rsid w:val="00572775"/>
    <w:rsid w:val="00572857"/>
    <w:rsid w:val="00573B7D"/>
    <w:rsid w:val="005746F6"/>
    <w:rsid w:val="00575B0C"/>
    <w:rsid w:val="0057656C"/>
    <w:rsid w:val="00577063"/>
    <w:rsid w:val="00577990"/>
    <w:rsid w:val="005804B5"/>
    <w:rsid w:val="00580701"/>
    <w:rsid w:val="00580A44"/>
    <w:rsid w:val="00580B3A"/>
    <w:rsid w:val="00580C03"/>
    <w:rsid w:val="005813E9"/>
    <w:rsid w:val="00581855"/>
    <w:rsid w:val="00584C97"/>
    <w:rsid w:val="00586923"/>
    <w:rsid w:val="00587805"/>
    <w:rsid w:val="005879E7"/>
    <w:rsid w:val="005900CE"/>
    <w:rsid w:val="00590594"/>
    <w:rsid w:val="00590E37"/>
    <w:rsid w:val="005920E6"/>
    <w:rsid w:val="00592E4D"/>
    <w:rsid w:val="0059320F"/>
    <w:rsid w:val="00593B6E"/>
    <w:rsid w:val="00594009"/>
    <w:rsid w:val="00594252"/>
    <w:rsid w:val="005945FC"/>
    <w:rsid w:val="00594B20"/>
    <w:rsid w:val="00595AEC"/>
    <w:rsid w:val="00595D81"/>
    <w:rsid w:val="005968C0"/>
    <w:rsid w:val="00596E89"/>
    <w:rsid w:val="005A0236"/>
    <w:rsid w:val="005A0F65"/>
    <w:rsid w:val="005A1A94"/>
    <w:rsid w:val="005A35F8"/>
    <w:rsid w:val="005A3966"/>
    <w:rsid w:val="005A3C46"/>
    <w:rsid w:val="005A6407"/>
    <w:rsid w:val="005A6C48"/>
    <w:rsid w:val="005A7FAD"/>
    <w:rsid w:val="005B016D"/>
    <w:rsid w:val="005B0C9E"/>
    <w:rsid w:val="005B2039"/>
    <w:rsid w:val="005B2515"/>
    <w:rsid w:val="005B273F"/>
    <w:rsid w:val="005B4575"/>
    <w:rsid w:val="005B460E"/>
    <w:rsid w:val="005B472F"/>
    <w:rsid w:val="005B47EF"/>
    <w:rsid w:val="005B4B02"/>
    <w:rsid w:val="005B4C9A"/>
    <w:rsid w:val="005B4D3B"/>
    <w:rsid w:val="005B5BC6"/>
    <w:rsid w:val="005B726C"/>
    <w:rsid w:val="005C0718"/>
    <w:rsid w:val="005C23A0"/>
    <w:rsid w:val="005C46AC"/>
    <w:rsid w:val="005C528A"/>
    <w:rsid w:val="005C634D"/>
    <w:rsid w:val="005C63FA"/>
    <w:rsid w:val="005D0A29"/>
    <w:rsid w:val="005D1702"/>
    <w:rsid w:val="005D2697"/>
    <w:rsid w:val="005D273C"/>
    <w:rsid w:val="005D315B"/>
    <w:rsid w:val="005D3B35"/>
    <w:rsid w:val="005D414B"/>
    <w:rsid w:val="005D4BF8"/>
    <w:rsid w:val="005D5072"/>
    <w:rsid w:val="005D5447"/>
    <w:rsid w:val="005D662B"/>
    <w:rsid w:val="005D7FDC"/>
    <w:rsid w:val="005E16A1"/>
    <w:rsid w:val="005E1A07"/>
    <w:rsid w:val="005E1CCA"/>
    <w:rsid w:val="005E2219"/>
    <w:rsid w:val="005E3097"/>
    <w:rsid w:val="005E353A"/>
    <w:rsid w:val="005E4B34"/>
    <w:rsid w:val="005E4EF1"/>
    <w:rsid w:val="005E667A"/>
    <w:rsid w:val="005E67A1"/>
    <w:rsid w:val="005E71E3"/>
    <w:rsid w:val="005E7B5E"/>
    <w:rsid w:val="005F19E6"/>
    <w:rsid w:val="005F285A"/>
    <w:rsid w:val="005F2EDF"/>
    <w:rsid w:val="005F3905"/>
    <w:rsid w:val="005F4451"/>
    <w:rsid w:val="0060015A"/>
    <w:rsid w:val="006001AD"/>
    <w:rsid w:val="00600751"/>
    <w:rsid w:val="00600BFD"/>
    <w:rsid w:val="00600C9B"/>
    <w:rsid w:val="0060123B"/>
    <w:rsid w:val="00601D01"/>
    <w:rsid w:val="00602641"/>
    <w:rsid w:val="00602F43"/>
    <w:rsid w:val="0060324C"/>
    <w:rsid w:val="0060336F"/>
    <w:rsid w:val="00603E70"/>
    <w:rsid w:val="0060417D"/>
    <w:rsid w:val="006061C4"/>
    <w:rsid w:val="0060623C"/>
    <w:rsid w:val="006066E6"/>
    <w:rsid w:val="0060694D"/>
    <w:rsid w:val="006071F9"/>
    <w:rsid w:val="0060759C"/>
    <w:rsid w:val="00607692"/>
    <w:rsid w:val="006079F6"/>
    <w:rsid w:val="00607BE2"/>
    <w:rsid w:val="00611566"/>
    <w:rsid w:val="0061210A"/>
    <w:rsid w:val="00612917"/>
    <w:rsid w:val="00612A58"/>
    <w:rsid w:val="0061344C"/>
    <w:rsid w:val="00615944"/>
    <w:rsid w:val="00616421"/>
    <w:rsid w:val="00616ACA"/>
    <w:rsid w:val="00617006"/>
    <w:rsid w:val="0061738F"/>
    <w:rsid w:val="00617512"/>
    <w:rsid w:val="00617C4C"/>
    <w:rsid w:val="00617FC5"/>
    <w:rsid w:val="006208EC"/>
    <w:rsid w:val="00620B4A"/>
    <w:rsid w:val="00620F85"/>
    <w:rsid w:val="00621144"/>
    <w:rsid w:val="00622337"/>
    <w:rsid w:val="00622B94"/>
    <w:rsid w:val="00624CF2"/>
    <w:rsid w:val="00624DB7"/>
    <w:rsid w:val="006250ED"/>
    <w:rsid w:val="00625B1E"/>
    <w:rsid w:val="00626097"/>
    <w:rsid w:val="0062693E"/>
    <w:rsid w:val="00626B06"/>
    <w:rsid w:val="00626B25"/>
    <w:rsid w:val="00626E56"/>
    <w:rsid w:val="0062718A"/>
    <w:rsid w:val="006271FE"/>
    <w:rsid w:val="00627533"/>
    <w:rsid w:val="006278D0"/>
    <w:rsid w:val="00630A51"/>
    <w:rsid w:val="00631D58"/>
    <w:rsid w:val="00633097"/>
    <w:rsid w:val="006335E2"/>
    <w:rsid w:val="00633746"/>
    <w:rsid w:val="006352FD"/>
    <w:rsid w:val="00636BE0"/>
    <w:rsid w:val="00637A88"/>
    <w:rsid w:val="00640C9D"/>
    <w:rsid w:val="00640DD9"/>
    <w:rsid w:val="006422F4"/>
    <w:rsid w:val="006429B1"/>
    <w:rsid w:val="00643856"/>
    <w:rsid w:val="0064411C"/>
    <w:rsid w:val="0064449B"/>
    <w:rsid w:val="00645E35"/>
    <w:rsid w:val="006466C8"/>
    <w:rsid w:val="006468EB"/>
    <w:rsid w:val="00646D99"/>
    <w:rsid w:val="00646FEF"/>
    <w:rsid w:val="006474E0"/>
    <w:rsid w:val="00650084"/>
    <w:rsid w:val="0065074C"/>
    <w:rsid w:val="00650B2B"/>
    <w:rsid w:val="00650DA3"/>
    <w:rsid w:val="00651615"/>
    <w:rsid w:val="00654E54"/>
    <w:rsid w:val="0065554C"/>
    <w:rsid w:val="006555F8"/>
    <w:rsid w:val="00656910"/>
    <w:rsid w:val="00657446"/>
    <w:rsid w:val="006576FE"/>
    <w:rsid w:val="0066153A"/>
    <w:rsid w:val="00661F02"/>
    <w:rsid w:val="00662D48"/>
    <w:rsid w:val="00663919"/>
    <w:rsid w:val="00663C24"/>
    <w:rsid w:val="006643B8"/>
    <w:rsid w:val="006662C8"/>
    <w:rsid w:val="00666483"/>
    <w:rsid w:val="00666AF9"/>
    <w:rsid w:val="00666C96"/>
    <w:rsid w:val="00667075"/>
    <w:rsid w:val="006674C9"/>
    <w:rsid w:val="0067066E"/>
    <w:rsid w:val="006714B1"/>
    <w:rsid w:val="00671516"/>
    <w:rsid w:val="0067286A"/>
    <w:rsid w:val="00673A2D"/>
    <w:rsid w:val="00674F6F"/>
    <w:rsid w:val="006751F3"/>
    <w:rsid w:val="00676945"/>
    <w:rsid w:val="00676D11"/>
    <w:rsid w:val="00676FEF"/>
    <w:rsid w:val="00677147"/>
    <w:rsid w:val="00677EB7"/>
    <w:rsid w:val="0068064C"/>
    <w:rsid w:val="006808DE"/>
    <w:rsid w:val="00680C10"/>
    <w:rsid w:val="00681506"/>
    <w:rsid w:val="00681A9A"/>
    <w:rsid w:val="00684745"/>
    <w:rsid w:val="00684E6F"/>
    <w:rsid w:val="006856CF"/>
    <w:rsid w:val="00685931"/>
    <w:rsid w:val="0068759E"/>
    <w:rsid w:val="00691FCD"/>
    <w:rsid w:val="00692129"/>
    <w:rsid w:val="00693CEA"/>
    <w:rsid w:val="00694C54"/>
    <w:rsid w:val="0069512B"/>
    <w:rsid w:val="00695F32"/>
    <w:rsid w:val="0069776D"/>
    <w:rsid w:val="006A0843"/>
    <w:rsid w:val="006A107E"/>
    <w:rsid w:val="006A1B94"/>
    <w:rsid w:val="006A264C"/>
    <w:rsid w:val="006A2B56"/>
    <w:rsid w:val="006A3102"/>
    <w:rsid w:val="006A3441"/>
    <w:rsid w:val="006A38D3"/>
    <w:rsid w:val="006A5A2A"/>
    <w:rsid w:val="006A7488"/>
    <w:rsid w:val="006A7B56"/>
    <w:rsid w:val="006B0A50"/>
    <w:rsid w:val="006B31BC"/>
    <w:rsid w:val="006B3D57"/>
    <w:rsid w:val="006B40A6"/>
    <w:rsid w:val="006B4A5F"/>
    <w:rsid w:val="006B4D5C"/>
    <w:rsid w:val="006B592E"/>
    <w:rsid w:val="006B75E0"/>
    <w:rsid w:val="006C0532"/>
    <w:rsid w:val="006C0604"/>
    <w:rsid w:val="006C0A2E"/>
    <w:rsid w:val="006C0A88"/>
    <w:rsid w:val="006C1899"/>
    <w:rsid w:val="006C329B"/>
    <w:rsid w:val="006C3689"/>
    <w:rsid w:val="006C3A65"/>
    <w:rsid w:val="006C4E54"/>
    <w:rsid w:val="006C4ECB"/>
    <w:rsid w:val="006C4F55"/>
    <w:rsid w:val="006C5BE1"/>
    <w:rsid w:val="006C66D8"/>
    <w:rsid w:val="006C7C87"/>
    <w:rsid w:val="006C7D66"/>
    <w:rsid w:val="006C7DF7"/>
    <w:rsid w:val="006D0A88"/>
    <w:rsid w:val="006D1A22"/>
    <w:rsid w:val="006D1E24"/>
    <w:rsid w:val="006D2BB5"/>
    <w:rsid w:val="006D59FF"/>
    <w:rsid w:val="006D6102"/>
    <w:rsid w:val="006D6385"/>
    <w:rsid w:val="006E0057"/>
    <w:rsid w:val="006E082A"/>
    <w:rsid w:val="006E08C3"/>
    <w:rsid w:val="006E1417"/>
    <w:rsid w:val="006E2183"/>
    <w:rsid w:val="006E2A88"/>
    <w:rsid w:val="006E325A"/>
    <w:rsid w:val="006E444E"/>
    <w:rsid w:val="006E4A9E"/>
    <w:rsid w:val="006E69C0"/>
    <w:rsid w:val="006E6BA0"/>
    <w:rsid w:val="006E701F"/>
    <w:rsid w:val="006E7EAF"/>
    <w:rsid w:val="006F0DB0"/>
    <w:rsid w:val="006F0F09"/>
    <w:rsid w:val="006F11BD"/>
    <w:rsid w:val="006F1FA7"/>
    <w:rsid w:val="006F3F62"/>
    <w:rsid w:val="006F46F0"/>
    <w:rsid w:val="006F6A2C"/>
    <w:rsid w:val="006F6CBB"/>
    <w:rsid w:val="006F7F8B"/>
    <w:rsid w:val="0070051F"/>
    <w:rsid w:val="0070184C"/>
    <w:rsid w:val="00701925"/>
    <w:rsid w:val="00703BC2"/>
    <w:rsid w:val="00704D38"/>
    <w:rsid w:val="007053F8"/>
    <w:rsid w:val="00705E07"/>
    <w:rsid w:val="007063D3"/>
    <w:rsid w:val="00706BFC"/>
    <w:rsid w:val="00706E7F"/>
    <w:rsid w:val="007071F3"/>
    <w:rsid w:val="0070721E"/>
    <w:rsid w:val="00707AD2"/>
    <w:rsid w:val="00707D57"/>
    <w:rsid w:val="00710201"/>
    <w:rsid w:val="00713456"/>
    <w:rsid w:val="00714090"/>
    <w:rsid w:val="0071489D"/>
    <w:rsid w:val="00714C39"/>
    <w:rsid w:val="00714FEC"/>
    <w:rsid w:val="0071533E"/>
    <w:rsid w:val="007155D7"/>
    <w:rsid w:val="00715601"/>
    <w:rsid w:val="007178B7"/>
    <w:rsid w:val="00717A1C"/>
    <w:rsid w:val="00717D0F"/>
    <w:rsid w:val="0072127F"/>
    <w:rsid w:val="007214EC"/>
    <w:rsid w:val="00722476"/>
    <w:rsid w:val="00722C8F"/>
    <w:rsid w:val="00723D47"/>
    <w:rsid w:val="00724DAE"/>
    <w:rsid w:val="00725FFD"/>
    <w:rsid w:val="0072638B"/>
    <w:rsid w:val="00730009"/>
    <w:rsid w:val="00730A65"/>
    <w:rsid w:val="007312AE"/>
    <w:rsid w:val="00731A1D"/>
    <w:rsid w:val="00732897"/>
    <w:rsid w:val="0073440B"/>
    <w:rsid w:val="00734A5B"/>
    <w:rsid w:val="007355B3"/>
    <w:rsid w:val="00735E81"/>
    <w:rsid w:val="00736641"/>
    <w:rsid w:val="00740DD6"/>
    <w:rsid w:val="00742263"/>
    <w:rsid w:val="007423AE"/>
    <w:rsid w:val="00742F2E"/>
    <w:rsid w:val="0074392F"/>
    <w:rsid w:val="00744BED"/>
    <w:rsid w:val="00744C2E"/>
    <w:rsid w:val="00744E33"/>
    <w:rsid w:val="00744E76"/>
    <w:rsid w:val="00745027"/>
    <w:rsid w:val="00745819"/>
    <w:rsid w:val="00745AC0"/>
    <w:rsid w:val="00745EBD"/>
    <w:rsid w:val="007460EF"/>
    <w:rsid w:val="00747137"/>
    <w:rsid w:val="007475F8"/>
    <w:rsid w:val="00747918"/>
    <w:rsid w:val="00747F8D"/>
    <w:rsid w:val="007502E8"/>
    <w:rsid w:val="00751405"/>
    <w:rsid w:val="00751ADA"/>
    <w:rsid w:val="00752B1F"/>
    <w:rsid w:val="00752BD6"/>
    <w:rsid w:val="007542F0"/>
    <w:rsid w:val="0075567B"/>
    <w:rsid w:val="00755734"/>
    <w:rsid w:val="00755B24"/>
    <w:rsid w:val="00755B74"/>
    <w:rsid w:val="00757D40"/>
    <w:rsid w:val="00760980"/>
    <w:rsid w:val="00760FBA"/>
    <w:rsid w:val="00761D17"/>
    <w:rsid w:val="0076222A"/>
    <w:rsid w:val="00763A4E"/>
    <w:rsid w:val="00763D86"/>
    <w:rsid w:val="007657B8"/>
    <w:rsid w:val="007657ED"/>
    <w:rsid w:val="00765BCB"/>
    <w:rsid w:val="0076606E"/>
    <w:rsid w:val="00767684"/>
    <w:rsid w:val="0076783C"/>
    <w:rsid w:val="00767C7F"/>
    <w:rsid w:val="00770CD4"/>
    <w:rsid w:val="0077251D"/>
    <w:rsid w:val="00772D31"/>
    <w:rsid w:val="007731AF"/>
    <w:rsid w:val="00773C5F"/>
    <w:rsid w:val="007750B4"/>
    <w:rsid w:val="00775800"/>
    <w:rsid w:val="00775B3A"/>
    <w:rsid w:val="0077728C"/>
    <w:rsid w:val="00777A0A"/>
    <w:rsid w:val="00777F24"/>
    <w:rsid w:val="0078110C"/>
    <w:rsid w:val="00781B4C"/>
    <w:rsid w:val="00781F0F"/>
    <w:rsid w:val="00782012"/>
    <w:rsid w:val="00782139"/>
    <w:rsid w:val="00783304"/>
    <w:rsid w:val="007846F6"/>
    <w:rsid w:val="00785F67"/>
    <w:rsid w:val="00786844"/>
    <w:rsid w:val="0078727C"/>
    <w:rsid w:val="00787CB8"/>
    <w:rsid w:val="00790255"/>
    <w:rsid w:val="0079049D"/>
    <w:rsid w:val="00791092"/>
    <w:rsid w:val="00791656"/>
    <w:rsid w:val="00791E9A"/>
    <w:rsid w:val="0079289B"/>
    <w:rsid w:val="00792DBB"/>
    <w:rsid w:val="0079365A"/>
    <w:rsid w:val="00793F56"/>
    <w:rsid w:val="00795A84"/>
    <w:rsid w:val="0079695B"/>
    <w:rsid w:val="00797A4C"/>
    <w:rsid w:val="007A24FF"/>
    <w:rsid w:val="007A2817"/>
    <w:rsid w:val="007A3D78"/>
    <w:rsid w:val="007A42F5"/>
    <w:rsid w:val="007A4E89"/>
    <w:rsid w:val="007A5A67"/>
    <w:rsid w:val="007A704A"/>
    <w:rsid w:val="007A72E5"/>
    <w:rsid w:val="007B014E"/>
    <w:rsid w:val="007B07D4"/>
    <w:rsid w:val="007B09BB"/>
    <w:rsid w:val="007B145B"/>
    <w:rsid w:val="007B18D8"/>
    <w:rsid w:val="007B190F"/>
    <w:rsid w:val="007B1EC4"/>
    <w:rsid w:val="007B3472"/>
    <w:rsid w:val="007B41E1"/>
    <w:rsid w:val="007B420B"/>
    <w:rsid w:val="007B449B"/>
    <w:rsid w:val="007B65DA"/>
    <w:rsid w:val="007B7B00"/>
    <w:rsid w:val="007B7D44"/>
    <w:rsid w:val="007C095F"/>
    <w:rsid w:val="007C0C25"/>
    <w:rsid w:val="007C16D4"/>
    <w:rsid w:val="007C1E0C"/>
    <w:rsid w:val="007C20B0"/>
    <w:rsid w:val="007C2B5F"/>
    <w:rsid w:val="007C2C4E"/>
    <w:rsid w:val="007C61C3"/>
    <w:rsid w:val="007C7636"/>
    <w:rsid w:val="007C76B7"/>
    <w:rsid w:val="007C76BE"/>
    <w:rsid w:val="007C7A75"/>
    <w:rsid w:val="007C7A9F"/>
    <w:rsid w:val="007C7D10"/>
    <w:rsid w:val="007D11EE"/>
    <w:rsid w:val="007D1236"/>
    <w:rsid w:val="007D1341"/>
    <w:rsid w:val="007D1ABD"/>
    <w:rsid w:val="007D1E7D"/>
    <w:rsid w:val="007D2EF3"/>
    <w:rsid w:val="007D34C3"/>
    <w:rsid w:val="007D3657"/>
    <w:rsid w:val="007D3F14"/>
    <w:rsid w:val="007D5270"/>
    <w:rsid w:val="007D54A5"/>
    <w:rsid w:val="007D5D7A"/>
    <w:rsid w:val="007D6B2C"/>
    <w:rsid w:val="007D70D9"/>
    <w:rsid w:val="007D7804"/>
    <w:rsid w:val="007D7D5D"/>
    <w:rsid w:val="007D7E4E"/>
    <w:rsid w:val="007E07D3"/>
    <w:rsid w:val="007E0A2C"/>
    <w:rsid w:val="007E13A2"/>
    <w:rsid w:val="007E334C"/>
    <w:rsid w:val="007E4126"/>
    <w:rsid w:val="007E4375"/>
    <w:rsid w:val="007E5462"/>
    <w:rsid w:val="007E6A4C"/>
    <w:rsid w:val="007F128D"/>
    <w:rsid w:val="007F1EE8"/>
    <w:rsid w:val="007F2122"/>
    <w:rsid w:val="007F2515"/>
    <w:rsid w:val="007F251A"/>
    <w:rsid w:val="007F3526"/>
    <w:rsid w:val="007F4C03"/>
    <w:rsid w:val="007F4E37"/>
    <w:rsid w:val="007F59D1"/>
    <w:rsid w:val="007F6FE5"/>
    <w:rsid w:val="0080013E"/>
    <w:rsid w:val="00800775"/>
    <w:rsid w:val="0080156C"/>
    <w:rsid w:val="008028A4"/>
    <w:rsid w:val="00803B05"/>
    <w:rsid w:val="00803C61"/>
    <w:rsid w:val="00804CC9"/>
    <w:rsid w:val="00806CAE"/>
    <w:rsid w:val="0080744A"/>
    <w:rsid w:val="008075F8"/>
    <w:rsid w:val="00811996"/>
    <w:rsid w:val="0081199C"/>
    <w:rsid w:val="008121C2"/>
    <w:rsid w:val="0081229C"/>
    <w:rsid w:val="00812B0C"/>
    <w:rsid w:val="00812DA8"/>
    <w:rsid w:val="00813245"/>
    <w:rsid w:val="00814BE6"/>
    <w:rsid w:val="00814DF6"/>
    <w:rsid w:val="008153A3"/>
    <w:rsid w:val="008154A5"/>
    <w:rsid w:val="008155EF"/>
    <w:rsid w:val="008159B7"/>
    <w:rsid w:val="00816DC9"/>
    <w:rsid w:val="00817AEA"/>
    <w:rsid w:val="00820B84"/>
    <w:rsid w:val="0082140C"/>
    <w:rsid w:val="00822825"/>
    <w:rsid w:val="008228C5"/>
    <w:rsid w:val="00824629"/>
    <w:rsid w:val="00825975"/>
    <w:rsid w:val="008265B1"/>
    <w:rsid w:val="008271C6"/>
    <w:rsid w:val="008275E6"/>
    <w:rsid w:val="00830A62"/>
    <w:rsid w:val="00831184"/>
    <w:rsid w:val="00831976"/>
    <w:rsid w:val="008327C8"/>
    <w:rsid w:val="00832D9D"/>
    <w:rsid w:val="00832F4E"/>
    <w:rsid w:val="00834D93"/>
    <w:rsid w:val="0083632F"/>
    <w:rsid w:val="00836D86"/>
    <w:rsid w:val="008401A6"/>
    <w:rsid w:val="0084071D"/>
    <w:rsid w:val="00841500"/>
    <w:rsid w:val="00841E8F"/>
    <w:rsid w:val="00843267"/>
    <w:rsid w:val="00843528"/>
    <w:rsid w:val="00844C28"/>
    <w:rsid w:val="00845797"/>
    <w:rsid w:val="00845B06"/>
    <w:rsid w:val="00845F5F"/>
    <w:rsid w:val="00846294"/>
    <w:rsid w:val="00846641"/>
    <w:rsid w:val="0084772B"/>
    <w:rsid w:val="00850999"/>
    <w:rsid w:val="008516E0"/>
    <w:rsid w:val="008520D0"/>
    <w:rsid w:val="008544DC"/>
    <w:rsid w:val="0085690C"/>
    <w:rsid w:val="0086010D"/>
    <w:rsid w:val="00860578"/>
    <w:rsid w:val="00860B35"/>
    <w:rsid w:val="00862B60"/>
    <w:rsid w:val="00863930"/>
    <w:rsid w:val="00863D3D"/>
    <w:rsid w:val="00865183"/>
    <w:rsid w:val="00865601"/>
    <w:rsid w:val="008656A0"/>
    <w:rsid w:val="0086590D"/>
    <w:rsid w:val="00866F7A"/>
    <w:rsid w:val="00870DAD"/>
    <w:rsid w:val="0087263F"/>
    <w:rsid w:val="00875B00"/>
    <w:rsid w:val="00875EB4"/>
    <w:rsid w:val="008762F7"/>
    <w:rsid w:val="008766FA"/>
    <w:rsid w:val="008768CA"/>
    <w:rsid w:val="00877010"/>
    <w:rsid w:val="00877EA0"/>
    <w:rsid w:val="00877EF9"/>
    <w:rsid w:val="00880559"/>
    <w:rsid w:val="008810E8"/>
    <w:rsid w:val="008815A4"/>
    <w:rsid w:val="00881AD9"/>
    <w:rsid w:val="00881FB1"/>
    <w:rsid w:val="00882E89"/>
    <w:rsid w:val="00883DE9"/>
    <w:rsid w:val="008849C0"/>
    <w:rsid w:val="00885893"/>
    <w:rsid w:val="00887C76"/>
    <w:rsid w:val="00890449"/>
    <w:rsid w:val="00890D69"/>
    <w:rsid w:val="00891C46"/>
    <w:rsid w:val="00891CCF"/>
    <w:rsid w:val="00892BCB"/>
    <w:rsid w:val="00892D28"/>
    <w:rsid w:val="00893C53"/>
    <w:rsid w:val="008957F1"/>
    <w:rsid w:val="008964E4"/>
    <w:rsid w:val="0089797A"/>
    <w:rsid w:val="008A203C"/>
    <w:rsid w:val="008A2AAB"/>
    <w:rsid w:val="008A2D12"/>
    <w:rsid w:val="008A30C1"/>
    <w:rsid w:val="008A3C86"/>
    <w:rsid w:val="008A41D0"/>
    <w:rsid w:val="008A4549"/>
    <w:rsid w:val="008A47BD"/>
    <w:rsid w:val="008A47D7"/>
    <w:rsid w:val="008A507A"/>
    <w:rsid w:val="008A6500"/>
    <w:rsid w:val="008A7522"/>
    <w:rsid w:val="008B0EAB"/>
    <w:rsid w:val="008B1412"/>
    <w:rsid w:val="008B270F"/>
    <w:rsid w:val="008B2758"/>
    <w:rsid w:val="008B2DB9"/>
    <w:rsid w:val="008B437A"/>
    <w:rsid w:val="008B4F7A"/>
    <w:rsid w:val="008B51A1"/>
    <w:rsid w:val="008B51CD"/>
    <w:rsid w:val="008B5306"/>
    <w:rsid w:val="008B5AAD"/>
    <w:rsid w:val="008B6B5C"/>
    <w:rsid w:val="008B7A48"/>
    <w:rsid w:val="008B7E86"/>
    <w:rsid w:val="008C15EA"/>
    <w:rsid w:val="008C35C7"/>
    <w:rsid w:val="008C42B8"/>
    <w:rsid w:val="008C503C"/>
    <w:rsid w:val="008C627B"/>
    <w:rsid w:val="008D0AD3"/>
    <w:rsid w:val="008D0AD9"/>
    <w:rsid w:val="008D13D0"/>
    <w:rsid w:val="008D31F6"/>
    <w:rsid w:val="008D3AF5"/>
    <w:rsid w:val="008D4D4B"/>
    <w:rsid w:val="008D4EBB"/>
    <w:rsid w:val="008D5538"/>
    <w:rsid w:val="008D59EB"/>
    <w:rsid w:val="008D7401"/>
    <w:rsid w:val="008D74AC"/>
    <w:rsid w:val="008E04E7"/>
    <w:rsid w:val="008E0880"/>
    <w:rsid w:val="008E0BF2"/>
    <w:rsid w:val="008E1E29"/>
    <w:rsid w:val="008E36F0"/>
    <w:rsid w:val="008E398C"/>
    <w:rsid w:val="008E3A0D"/>
    <w:rsid w:val="008E3E5F"/>
    <w:rsid w:val="008E54A0"/>
    <w:rsid w:val="008E69BD"/>
    <w:rsid w:val="008F0426"/>
    <w:rsid w:val="008F0908"/>
    <w:rsid w:val="008F41E9"/>
    <w:rsid w:val="008F53E9"/>
    <w:rsid w:val="008F593C"/>
    <w:rsid w:val="008F6C6B"/>
    <w:rsid w:val="008F6E0F"/>
    <w:rsid w:val="008F7B07"/>
    <w:rsid w:val="0090187C"/>
    <w:rsid w:val="00902185"/>
    <w:rsid w:val="0090271F"/>
    <w:rsid w:val="00902DB9"/>
    <w:rsid w:val="009033EA"/>
    <w:rsid w:val="0090360A"/>
    <w:rsid w:val="00903F46"/>
    <w:rsid w:val="00903F69"/>
    <w:rsid w:val="00903FC0"/>
    <w:rsid w:val="0090441E"/>
    <w:rsid w:val="009044B0"/>
    <w:rsid w:val="0090466A"/>
    <w:rsid w:val="009048FE"/>
    <w:rsid w:val="00905CC8"/>
    <w:rsid w:val="009061EA"/>
    <w:rsid w:val="00910846"/>
    <w:rsid w:val="00910C4F"/>
    <w:rsid w:val="00910C71"/>
    <w:rsid w:val="009111C0"/>
    <w:rsid w:val="0091224C"/>
    <w:rsid w:val="009129DD"/>
    <w:rsid w:val="00913539"/>
    <w:rsid w:val="00913A58"/>
    <w:rsid w:val="00914F31"/>
    <w:rsid w:val="00915617"/>
    <w:rsid w:val="00915699"/>
    <w:rsid w:val="009172E4"/>
    <w:rsid w:val="00917655"/>
    <w:rsid w:val="00920069"/>
    <w:rsid w:val="00920737"/>
    <w:rsid w:val="0092135B"/>
    <w:rsid w:val="00921360"/>
    <w:rsid w:val="009215C5"/>
    <w:rsid w:val="00921647"/>
    <w:rsid w:val="00921B60"/>
    <w:rsid w:val="00922854"/>
    <w:rsid w:val="00922A55"/>
    <w:rsid w:val="0092322A"/>
    <w:rsid w:val="00923F93"/>
    <w:rsid w:val="0092432D"/>
    <w:rsid w:val="00924377"/>
    <w:rsid w:val="00924443"/>
    <w:rsid w:val="00925CAC"/>
    <w:rsid w:val="009262AD"/>
    <w:rsid w:val="009275B7"/>
    <w:rsid w:val="00930F3E"/>
    <w:rsid w:val="00931174"/>
    <w:rsid w:val="0093129F"/>
    <w:rsid w:val="009313B0"/>
    <w:rsid w:val="009319F8"/>
    <w:rsid w:val="00931D90"/>
    <w:rsid w:val="00933893"/>
    <w:rsid w:val="0093422F"/>
    <w:rsid w:val="00935A29"/>
    <w:rsid w:val="00936071"/>
    <w:rsid w:val="00936168"/>
    <w:rsid w:val="00936F1D"/>
    <w:rsid w:val="0093719E"/>
    <w:rsid w:val="009373DA"/>
    <w:rsid w:val="00937786"/>
    <w:rsid w:val="00937EC2"/>
    <w:rsid w:val="00940212"/>
    <w:rsid w:val="0094243A"/>
    <w:rsid w:val="00942E6A"/>
    <w:rsid w:val="00942EC2"/>
    <w:rsid w:val="00942FC1"/>
    <w:rsid w:val="009433E9"/>
    <w:rsid w:val="00944C85"/>
    <w:rsid w:val="00945599"/>
    <w:rsid w:val="0094572F"/>
    <w:rsid w:val="00945C3E"/>
    <w:rsid w:val="00946E07"/>
    <w:rsid w:val="009470EB"/>
    <w:rsid w:val="00947692"/>
    <w:rsid w:val="0094798C"/>
    <w:rsid w:val="009502B7"/>
    <w:rsid w:val="00951E87"/>
    <w:rsid w:val="00952282"/>
    <w:rsid w:val="0095230D"/>
    <w:rsid w:val="009530E1"/>
    <w:rsid w:val="00953773"/>
    <w:rsid w:val="0095382B"/>
    <w:rsid w:val="00953B23"/>
    <w:rsid w:val="00954DA4"/>
    <w:rsid w:val="00955013"/>
    <w:rsid w:val="00955470"/>
    <w:rsid w:val="009563AF"/>
    <w:rsid w:val="0095706D"/>
    <w:rsid w:val="009575CB"/>
    <w:rsid w:val="009604F0"/>
    <w:rsid w:val="00960EE2"/>
    <w:rsid w:val="009619AB"/>
    <w:rsid w:val="00961B32"/>
    <w:rsid w:val="00961F75"/>
    <w:rsid w:val="0096338A"/>
    <w:rsid w:val="009639A1"/>
    <w:rsid w:val="00963DD3"/>
    <w:rsid w:val="009642CF"/>
    <w:rsid w:val="009646C4"/>
    <w:rsid w:val="00964780"/>
    <w:rsid w:val="009656AD"/>
    <w:rsid w:val="00965923"/>
    <w:rsid w:val="00965B3B"/>
    <w:rsid w:val="00970DB3"/>
    <w:rsid w:val="009729ED"/>
    <w:rsid w:val="009741B4"/>
    <w:rsid w:val="00974537"/>
    <w:rsid w:val="009748CE"/>
    <w:rsid w:val="00974BB0"/>
    <w:rsid w:val="00975439"/>
    <w:rsid w:val="0097647E"/>
    <w:rsid w:val="0097695B"/>
    <w:rsid w:val="00976F95"/>
    <w:rsid w:val="0098044A"/>
    <w:rsid w:val="00980BA2"/>
    <w:rsid w:val="00981023"/>
    <w:rsid w:val="00981237"/>
    <w:rsid w:val="0098124E"/>
    <w:rsid w:val="00981B73"/>
    <w:rsid w:val="00983093"/>
    <w:rsid w:val="00983348"/>
    <w:rsid w:val="00984778"/>
    <w:rsid w:val="00985AB7"/>
    <w:rsid w:val="009871BA"/>
    <w:rsid w:val="009873E1"/>
    <w:rsid w:val="00987CFF"/>
    <w:rsid w:val="00987DB4"/>
    <w:rsid w:val="0099047A"/>
    <w:rsid w:val="0099185F"/>
    <w:rsid w:val="00992683"/>
    <w:rsid w:val="00995433"/>
    <w:rsid w:val="009958C2"/>
    <w:rsid w:val="00995B06"/>
    <w:rsid w:val="00995DEF"/>
    <w:rsid w:val="00996079"/>
    <w:rsid w:val="0099617F"/>
    <w:rsid w:val="00996192"/>
    <w:rsid w:val="0099633F"/>
    <w:rsid w:val="009963CE"/>
    <w:rsid w:val="009964F4"/>
    <w:rsid w:val="00996FD7"/>
    <w:rsid w:val="009971FA"/>
    <w:rsid w:val="009A0561"/>
    <w:rsid w:val="009A0941"/>
    <w:rsid w:val="009A0AF3"/>
    <w:rsid w:val="009A0E05"/>
    <w:rsid w:val="009A1524"/>
    <w:rsid w:val="009A1E2F"/>
    <w:rsid w:val="009A1E95"/>
    <w:rsid w:val="009A2039"/>
    <w:rsid w:val="009A27B6"/>
    <w:rsid w:val="009A355F"/>
    <w:rsid w:val="009A3E04"/>
    <w:rsid w:val="009A3F3F"/>
    <w:rsid w:val="009A5150"/>
    <w:rsid w:val="009A6E6D"/>
    <w:rsid w:val="009A6ECB"/>
    <w:rsid w:val="009A73A3"/>
    <w:rsid w:val="009B028B"/>
    <w:rsid w:val="009B03C8"/>
    <w:rsid w:val="009B05FC"/>
    <w:rsid w:val="009B07CD"/>
    <w:rsid w:val="009B0DF7"/>
    <w:rsid w:val="009B16DE"/>
    <w:rsid w:val="009B1ADE"/>
    <w:rsid w:val="009B1D0C"/>
    <w:rsid w:val="009B2897"/>
    <w:rsid w:val="009B3456"/>
    <w:rsid w:val="009B55E1"/>
    <w:rsid w:val="009B6354"/>
    <w:rsid w:val="009B6A95"/>
    <w:rsid w:val="009B718C"/>
    <w:rsid w:val="009B7F65"/>
    <w:rsid w:val="009C19E9"/>
    <w:rsid w:val="009C1B87"/>
    <w:rsid w:val="009C21AE"/>
    <w:rsid w:val="009C3192"/>
    <w:rsid w:val="009C3DF8"/>
    <w:rsid w:val="009C538E"/>
    <w:rsid w:val="009C599C"/>
    <w:rsid w:val="009C5A16"/>
    <w:rsid w:val="009C6DB9"/>
    <w:rsid w:val="009C75A7"/>
    <w:rsid w:val="009D0F24"/>
    <w:rsid w:val="009D12D2"/>
    <w:rsid w:val="009D18CD"/>
    <w:rsid w:val="009D2DA6"/>
    <w:rsid w:val="009D3610"/>
    <w:rsid w:val="009D5472"/>
    <w:rsid w:val="009D5501"/>
    <w:rsid w:val="009D59FB"/>
    <w:rsid w:val="009D5EA8"/>
    <w:rsid w:val="009D6DE9"/>
    <w:rsid w:val="009D72B2"/>
    <w:rsid w:val="009E027F"/>
    <w:rsid w:val="009E1724"/>
    <w:rsid w:val="009E18B2"/>
    <w:rsid w:val="009E1A79"/>
    <w:rsid w:val="009E1ADA"/>
    <w:rsid w:val="009E1E03"/>
    <w:rsid w:val="009E2F69"/>
    <w:rsid w:val="009E354F"/>
    <w:rsid w:val="009E364D"/>
    <w:rsid w:val="009E3689"/>
    <w:rsid w:val="009E4322"/>
    <w:rsid w:val="009E4D2D"/>
    <w:rsid w:val="009E66FA"/>
    <w:rsid w:val="009E7D45"/>
    <w:rsid w:val="009F12D0"/>
    <w:rsid w:val="009F1392"/>
    <w:rsid w:val="009F14A8"/>
    <w:rsid w:val="009F2063"/>
    <w:rsid w:val="009F22DB"/>
    <w:rsid w:val="009F3A3F"/>
    <w:rsid w:val="009F3B87"/>
    <w:rsid w:val="009F3D2E"/>
    <w:rsid w:val="009F500F"/>
    <w:rsid w:val="009F5355"/>
    <w:rsid w:val="009F7203"/>
    <w:rsid w:val="009F752B"/>
    <w:rsid w:val="00A0245E"/>
    <w:rsid w:val="00A036B7"/>
    <w:rsid w:val="00A04CF4"/>
    <w:rsid w:val="00A04D1F"/>
    <w:rsid w:val="00A052A4"/>
    <w:rsid w:val="00A06B9E"/>
    <w:rsid w:val="00A07490"/>
    <w:rsid w:val="00A07941"/>
    <w:rsid w:val="00A1053B"/>
    <w:rsid w:val="00A1095C"/>
    <w:rsid w:val="00A10F02"/>
    <w:rsid w:val="00A13034"/>
    <w:rsid w:val="00A1360D"/>
    <w:rsid w:val="00A14985"/>
    <w:rsid w:val="00A15F54"/>
    <w:rsid w:val="00A175AE"/>
    <w:rsid w:val="00A204CA"/>
    <w:rsid w:val="00A22A8B"/>
    <w:rsid w:val="00A22FE0"/>
    <w:rsid w:val="00A2311A"/>
    <w:rsid w:val="00A24255"/>
    <w:rsid w:val="00A242F5"/>
    <w:rsid w:val="00A257C4"/>
    <w:rsid w:val="00A274EF"/>
    <w:rsid w:val="00A275B7"/>
    <w:rsid w:val="00A27801"/>
    <w:rsid w:val="00A27FA0"/>
    <w:rsid w:val="00A30D5D"/>
    <w:rsid w:val="00A31047"/>
    <w:rsid w:val="00A314A2"/>
    <w:rsid w:val="00A323F7"/>
    <w:rsid w:val="00A326B2"/>
    <w:rsid w:val="00A33110"/>
    <w:rsid w:val="00A34742"/>
    <w:rsid w:val="00A3562E"/>
    <w:rsid w:val="00A35E9D"/>
    <w:rsid w:val="00A369EF"/>
    <w:rsid w:val="00A37282"/>
    <w:rsid w:val="00A372AE"/>
    <w:rsid w:val="00A40076"/>
    <w:rsid w:val="00A40362"/>
    <w:rsid w:val="00A41B8B"/>
    <w:rsid w:val="00A42202"/>
    <w:rsid w:val="00A42CA3"/>
    <w:rsid w:val="00A43167"/>
    <w:rsid w:val="00A4488D"/>
    <w:rsid w:val="00A44AA1"/>
    <w:rsid w:val="00A45653"/>
    <w:rsid w:val="00A4682D"/>
    <w:rsid w:val="00A46DEC"/>
    <w:rsid w:val="00A47918"/>
    <w:rsid w:val="00A47D16"/>
    <w:rsid w:val="00A50448"/>
    <w:rsid w:val="00A51BA8"/>
    <w:rsid w:val="00A52B72"/>
    <w:rsid w:val="00A536E1"/>
    <w:rsid w:val="00A53724"/>
    <w:rsid w:val="00A53B77"/>
    <w:rsid w:val="00A545DB"/>
    <w:rsid w:val="00A56B11"/>
    <w:rsid w:val="00A56BC4"/>
    <w:rsid w:val="00A579BF"/>
    <w:rsid w:val="00A57E75"/>
    <w:rsid w:val="00A61A6E"/>
    <w:rsid w:val="00A62DD8"/>
    <w:rsid w:val="00A630D1"/>
    <w:rsid w:val="00A638C1"/>
    <w:rsid w:val="00A658F4"/>
    <w:rsid w:val="00A66621"/>
    <w:rsid w:val="00A66867"/>
    <w:rsid w:val="00A669CE"/>
    <w:rsid w:val="00A66CDF"/>
    <w:rsid w:val="00A66E5E"/>
    <w:rsid w:val="00A726C8"/>
    <w:rsid w:val="00A74021"/>
    <w:rsid w:val="00A74259"/>
    <w:rsid w:val="00A74848"/>
    <w:rsid w:val="00A76318"/>
    <w:rsid w:val="00A7674C"/>
    <w:rsid w:val="00A772A7"/>
    <w:rsid w:val="00A8013C"/>
    <w:rsid w:val="00A81612"/>
    <w:rsid w:val="00A822DB"/>
    <w:rsid w:val="00A82346"/>
    <w:rsid w:val="00A82401"/>
    <w:rsid w:val="00A8296F"/>
    <w:rsid w:val="00A8585D"/>
    <w:rsid w:val="00A904BD"/>
    <w:rsid w:val="00A90E7C"/>
    <w:rsid w:val="00A93131"/>
    <w:rsid w:val="00A938C3"/>
    <w:rsid w:val="00A93D99"/>
    <w:rsid w:val="00A95E36"/>
    <w:rsid w:val="00A95E90"/>
    <w:rsid w:val="00A961B2"/>
    <w:rsid w:val="00A9671C"/>
    <w:rsid w:val="00A967F0"/>
    <w:rsid w:val="00A9697E"/>
    <w:rsid w:val="00A96A2E"/>
    <w:rsid w:val="00AA0E96"/>
    <w:rsid w:val="00AA14C1"/>
    <w:rsid w:val="00AA1553"/>
    <w:rsid w:val="00AA1F72"/>
    <w:rsid w:val="00AA1FA8"/>
    <w:rsid w:val="00AA3636"/>
    <w:rsid w:val="00AA3BA7"/>
    <w:rsid w:val="00AA4058"/>
    <w:rsid w:val="00AA41CC"/>
    <w:rsid w:val="00AA484C"/>
    <w:rsid w:val="00AA5163"/>
    <w:rsid w:val="00AA54AE"/>
    <w:rsid w:val="00AA5912"/>
    <w:rsid w:val="00AA6F48"/>
    <w:rsid w:val="00AB0711"/>
    <w:rsid w:val="00AB0DEA"/>
    <w:rsid w:val="00AB1408"/>
    <w:rsid w:val="00AB1C35"/>
    <w:rsid w:val="00AB1D62"/>
    <w:rsid w:val="00AB2366"/>
    <w:rsid w:val="00AB378A"/>
    <w:rsid w:val="00AB3F53"/>
    <w:rsid w:val="00AB4162"/>
    <w:rsid w:val="00AB43D5"/>
    <w:rsid w:val="00AB4B5A"/>
    <w:rsid w:val="00AB504B"/>
    <w:rsid w:val="00AB556A"/>
    <w:rsid w:val="00AB58FA"/>
    <w:rsid w:val="00AB5FEB"/>
    <w:rsid w:val="00AC0D65"/>
    <w:rsid w:val="00AC136F"/>
    <w:rsid w:val="00AC2ACB"/>
    <w:rsid w:val="00AC3968"/>
    <w:rsid w:val="00AC3D4C"/>
    <w:rsid w:val="00AC417A"/>
    <w:rsid w:val="00AC4C2B"/>
    <w:rsid w:val="00AC56FB"/>
    <w:rsid w:val="00AC58EB"/>
    <w:rsid w:val="00AC5DA5"/>
    <w:rsid w:val="00AD030D"/>
    <w:rsid w:val="00AD0633"/>
    <w:rsid w:val="00AD0F1D"/>
    <w:rsid w:val="00AD1D79"/>
    <w:rsid w:val="00AD255B"/>
    <w:rsid w:val="00AD2619"/>
    <w:rsid w:val="00AD3512"/>
    <w:rsid w:val="00AD38CD"/>
    <w:rsid w:val="00AD3939"/>
    <w:rsid w:val="00AD49CC"/>
    <w:rsid w:val="00AD61D0"/>
    <w:rsid w:val="00AD6A53"/>
    <w:rsid w:val="00AD7EB7"/>
    <w:rsid w:val="00AE06A4"/>
    <w:rsid w:val="00AE0D34"/>
    <w:rsid w:val="00AE13E9"/>
    <w:rsid w:val="00AE16A3"/>
    <w:rsid w:val="00AE2F15"/>
    <w:rsid w:val="00AE2FC9"/>
    <w:rsid w:val="00AE370F"/>
    <w:rsid w:val="00AE41E9"/>
    <w:rsid w:val="00AE4F12"/>
    <w:rsid w:val="00AE5998"/>
    <w:rsid w:val="00AE61C8"/>
    <w:rsid w:val="00AE71BB"/>
    <w:rsid w:val="00AE7E9D"/>
    <w:rsid w:val="00AF1665"/>
    <w:rsid w:val="00AF273B"/>
    <w:rsid w:val="00AF2F13"/>
    <w:rsid w:val="00AF5DD2"/>
    <w:rsid w:val="00AF72B0"/>
    <w:rsid w:val="00AF74D9"/>
    <w:rsid w:val="00AF77F1"/>
    <w:rsid w:val="00B002F0"/>
    <w:rsid w:val="00B0037C"/>
    <w:rsid w:val="00B018C8"/>
    <w:rsid w:val="00B03536"/>
    <w:rsid w:val="00B03676"/>
    <w:rsid w:val="00B0496C"/>
    <w:rsid w:val="00B05408"/>
    <w:rsid w:val="00B05485"/>
    <w:rsid w:val="00B0648D"/>
    <w:rsid w:val="00B065B6"/>
    <w:rsid w:val="00B06B21"/>
    <w:rsid w:val="00B07170"/>
    <w:rsid w:val="00B071A8"/>
    <w:rsid w:val="00B07333"/>
    <w:rsid w:val="00B07616"/>
    <w:rsid w:val="00B10128"/>
    <w:rsid w:val="00B109C4"/>
    <w:rsid w:val="00B10D95"/>
    <w:rsid w:val="00B1155D"/>
    <w:rsid w:val="00B11743"/>
    <w:rsid w:val="00B1287E"/>
    <w:rsid w:val="00B132F6"/>
    <w:rsid w:val="00B148A7"/>
    <w:rsid w:val="00B14A0B"/>
    <w:rsid w:val="00B14AC3"/>
    <w:rsid w:val="00B15449"/>
    <w:rsid w:val="00B15602"/>
    <w:rsid w:val="00B16ED1"/>
    <w:rsid w:val="00B20B79"/>
    <w:rsid w:val="00B21A7F"/>
    <w:rsid w:val="00B22562"/>
    <w:rsid w:val="00B22D8A"/>
    <w:rsid w:val="00B22DAA"/>
    <w:rsid w:val="00B2397F"/>
    <w:rsid w:val="00B23CD6"/>
    <w:rsid w:val="00B24043"/>
    <w:rsid w:val="00B2522C"/>
    <w:rsid w:val="00B25F47"/>
    <w:rsid w:val="00B261CC"/>
    <w:rsid w:val="00B308BD"/>
    <w:rsid w:val="00B30DF9"/>
    <w:rsid w:val="00B30F3A"/>
    <w:rsid w:val="00B31E32"/>
    <w:rsid w:val="00B32979"/>
    <w:rsid w:val="00B32E06"/>
    <w:rsid w:val="00B33699"/>
    <w:rsid w:val="00B33AF3"/>
    <w:rsid w:val="00B34B84"/>
    <w:rsid w:val="00B35487"/>
    <w:rsid w:val="00B36BDD"/>
    <w:rsid w:val="00B37D7D"/>
    <w:rsid w:val="00B412A9"/>
    <w:rsid w:val="00B42A08"/>
    <w:rsid w:val="00B43EDC"/>
    <w:rsid w:val="00B44461"/>
    <w:rsid w:val="00B44530"/>
    <w:rsid w:val="00B44898"/>
    <w:rsid w:val="00B44A6C"/>
    <w:rsid w:val="00B460B3"/>
    <w:rsid w:val="00B46247"/>
    <w:rsid w:val="00B46A62"/>
    <w:rsid w:val="00B46E6B"/>
    <w:rsid w:val="00B47FD1"/>
    <w:rsid w:val="00B5060B"/>
    <w:rsid w:val="00B516BB"/>
    <w:rsid w:val="00B52A73"/>
    <w:rsid w:val="00B53FA3"/>
    <w:rsid w:val="00B540D0"/>
    <w:rsid w:val="00B54890"/>
    <w:rsid w:val="00B55A41"/>
    <w:rsid w:val="00B562CB"/>
    <w:rsid w:val="00B56615"/>
    <w:rsid w:val="00B566F8"/>
    <w:rsid w:val="00B56BBB"/>
    <w:rsid w:val="00B57E4B"/>
    <w:rsid w:val="00B6016B"/>
    <w:rsid w:val="00B60822"/>
    <w:rsid w:val="00B612F2"/>
    <w:rsid w:val="00B61616"/>
    <w:rsid w:val="00B61F16"/>
    <w:rsid w:val="00B62935"/>
    <w:rsid w:val="00B63538"/>
    <w:rsid w:val="00B63CFC"/>
    <w:rsid w:val="00B64225"/>
    <w:rsid w:val="00B6498B"/>
    <w:rsid w:val="00B6563D"/>
    <w:rsid w:val="00B65C41"/>
    <w:rsid w:val="00B6619B"/>
    <w:rsid w:val="00B67DAA"/>
    <w:rsid w:val="00B72416"/>
    <w:rsid w:val="00B72A56"/>
    <w:rsid w:val="00B736C4"/>
    <w:rsid w:val="00B73D32"/>
    <w:rsid w:val="00B741FC"/>
    <w:rsid w:val="00B74231"/>
    <w:rsid w:val="00B74842"/>
    <w:rsid w:val="00B759E5"/>
    <w:rsid w:val="00B75EE5"/>
    <w:rsid w:val="00B764D9"/>
    <w:rsid w:val="00B77C41"/>
    <w:rsid w:val="00B77FD6"/>
    <w:rsid w:val="00B81E4A"/>
    <w:rsid w:val="00B82B22"/>
    <w:rsid w:val="00B83323"/>
    <w:rsid w:val="00B84099"/>
    <w:rsid w:val="00B84478"/>
    <w:rsid w:val="00B84C64"/>
    <w:rsid w:val="00B84D7A"/>
    <w:rsid w:val="00B854AC"/>
    <w:rsid w:val="00B855D4"/>
    <w:rsid w:val="00B85872"/>
    <w:rsid w:val="00B85A12"/>
    <w:rsid w:val="00B85EC2"/>
    <w:rsid w:val="00B875B7"/>
    <w:rsid w:val="00B87F3B"/>
    <w:rsid w:val="00B9114D"/>
    <w:rsid w:val="00B9151B"/>
    <w:rsid w:val="00B91CF9"/>
    <w:rsid w:val="00B9298F"/>
    <w:rsid w:val="00B92FA1"/>
    <w:rsid w:val="00B93312"/>
    <w:rsid w:val="00B93910"/>
    <w:rsid w:val="00B94866"/>
    <w:rsid w:val="00B94875"/>
    <w:rsid w:val="00B94A1D"/>
    <w:rsid w:val="00B976C2"/>
    <w:rsid w:val="00BA0BC2"/>
    <w:rsid w:val="00BA0C37"/>
    <w:rsid w:val="00BA1EA2"/>
    <w:rsid w:val="00BA2EF4"/>
    <w:rsid w:val="00BA391E"/>
    <w:rsid w:val="00BA3DA1"/>
    <w:rsid w:val="00BA4373"/>
    <w:rsid w:val="00BA4A36"/>
    <w:rsid w:val="00BA510D"/>
    <w:rsid w:val="00BA59FC"/>
    <w:rsid w:val="00BA5B73"/>
    <w:rsid w:val="00BA603E"/>
    <w:rsid w:val="00BA62E3"/>
    <w:rsid w:val="00BA64E1"/>
    <w:rsid w:val="00BA6999"/>
    <w:rsid w:val="00BA69D7"/>
    <w:rsid w:val="00BA6D6A"/>
    <w:rsid w:val="00BA71C5"/>
    <w:rsid w:val="00BA74A3"/>
    <w:rsid w:val="00BA7667"/>
    <w:rsid w:val="00BA7FDD"/>
    <w:rsid w:val="00BB0256"/>
    <w:rsid w:val="00BB14E5"/>
    <w:rsid w:val="00BB17E0"/>
    <w:rsid w:val="00BB2047"/>
    <w:rsid w:val="00BB366C"/>
    <w:rsid w:val="00BB44A6"/>
    <w:rsid w:val="00BB557C"/>
    <w:rsid w:val="00BB577D"/>
    <w:rsid w:val="00BB59E3"/>
    <w:rsid w:val="00BB5E5E"/>
    <w:rsid w:val="00BB67AA"/>
    <w:rsid w:val="00BB6BA0"/>
    <w:rsid w:val="00BB75E3"/>
    <w:rsid w:val="00BB7AFC"/>
    <w:rsid w:val="00BB7C60"/>
    <w:rsid w:val="00BC1247"/>
    <w:rsid w:val="00BC125B"/>
    <w:rsid w:val="00BC139F"/>
    <w:rsid w:val="00BC1C96"/>
    <w:rsid w:val="00BC223A"/>
    <w:rsid w:val="00BC24A8"/>
    <w:rsid w:val="00BC320D"/>
    <w:rsid w:val="00BC3B1B"/>
    <w:rsid w:val="00BC4631"/>
    <w:rsid w:val="00BC4905"/>
    <w:rsid w:val="00BC4F84"/>
    <w:rsid w:val="00BC5316"/>
    <w:rsid w:val="00BC58DB"/>
    <w:rsid w:val="00BC69E4"/>
    <w:rsid w:val="00BC6DF1"/>
    <w:rsid w:val="00BC7D6E"/>
    <w:rsid w:val="00BD0924"/>
    <w:rsid w:val="00BD5535"/>
    <w:rsid w:val="00BD5FD4"/>
    <w:rsid w:val="00BD60FC"/>
    <w:rsid w:val="00BD63C3"/>
    <w:rsid w:val="00BD67B1"/>
    <w:rsid w:val="00BD75F6"/>
    <w:rsid w:val="00BE0596"/>
    <w:rsid w:val="00BE1AA2"/>
    <w:rsid w:val="00BE255E"/>
    <w:rsid w:val="00BE2F98"/>
    <w:rsid w:val="00BE3068"/>
    <w:rsid w:val="00BE31E3"/>
    <w:rsid w:val="00BE3598"/>
    <w:rsid w:val="00BE3C3D"/>
    <w:rsid w:val="00BE437E"/>
    <w:rsid w:val="00BE5AAD"/>
    <w:rsid w:val="00BE6130"/>
    <w:rsid w:val="00BE63B5"/>
    <w:rsid w:val="00BE6663"/>
    <w:rsid w:val="00BE75DD"/>
    <w:rsid w:val="00BE7A1C"/>
    <w:rsid w:val="00BE7CFF"/>
    <w:rsid w:val="00BF0410"/>
    <w:rsid w:val="00BF041B"/>
    <w:rsid w:val="00BF1590"/>
    <w:rsid w:val="00BF1A4A"/>
    <w:rsid w:val="00BF2671"/>
    <w:rsid w:val="00BF3E71"/>
    <w:rsid w:val="00BF4650"/>
    <w:rsid w:val="00BF4AB3"/>
    <w:rsid w:val="00BF605F"/>
    <w:rsid w:val="00BF655D"/>
    <w:rsid w:val="00BF6685"/>
    <w:rsid w:val="00C00125"/>
    <w:rsid w:val="00C0256B"/>
    <w:rsid w:val="00C02766"/>
    <w:rsid w:val="00C028E2"/>
    <w:rsid w:val="00C0450B"/>
    <w:rsid w:val="00C05FFB"/>
    <w:rsid w:val="00C062AD"/>
    <w:rsid w:val="00C062B8"/>
    <w:rsid w:val="00C07B22"/>
    <w:rsid w:val="00C07C8C"/>
    <w:rsid w:val="00C10FEF"/>
    <w:rsid w:val="00C12179"/>
    <w:rsid w:val="00C12890"/>
    <w:rsid w:val="00C12B51"/>
    <w:rsid w:val="00C1317F"/>
    <w:rsid w:val="00C13CCF"/>
    <w:rsid w:val="00C16023"/>
    <w:rsid w:val="00C16E58"/>
    <w:rsid w:val="00C16EDE"/>
    <w:rsid w:val="00C17B15"/>
    <w:rsid w:val="00C2053F"/>
    <w:rsid w:val="00C22397"/>
    <w:rsid w:val="00C23F63"/>
    <w:rsid w:val="00C241A4"/>
    <w:rsid w:val="00C24650"/>
    <w:rsid w:val="00C25AAF"/>
    <w:rsid w:val="00C26C6B"/>
    <w:rsid w:val="00C27B36"/>
    <w:rsid w:val="00C3291E"/>
    <w:rsid w:val="00C32BCD"/>
    <w:rsid w:val="00C33079"/>
    <w:rsid w:val="00C330DF"/>
    <w:rsid w:val="00C343D1"/>
    <w:rsid w:val="00C356FF"/>
    <w:rsid w:val="00C366CF"/>
    <w:rsid w:val="00C37568"/>
    <w:rsid w:val="00C37C48"/>
    <w:rsid w:val="00C4049C"/>
    <w:rsid w:val="00C40600"/>
    <w:rsid w:val="00C42F5A"/>
    <w:rsid w:val="00C4354C"/>
    <w:rsid w:val="00C43FD6"/>
    <w:rsid w:val="00C4451F"/>
    <w:rsid w:val="00C45183"/>
    <w:rsid w:val="00C45EBD"/>
    <w:rsid w:val="00C46562"/>
    <w:rsid w:val="00C4676B"/>
    <w:rsid w:val="00C47D2D"/>
    <w:rsid w:val="00C507DA"/>
    <w:rsid w:val="00C50A9A"/>
    <w:rsid w:val="00C512FB"/>
    <w:rsid w:val="00C556FB"/>
    <w:rsid w:val="00C55CAA"/>
    <w:rsid w:val="00C55DE9"/>
    <w:rsid w:val="00C569EE"/>
    <w:rsid w:val="00C57E42"/>
    <w:rsid w:val="00C60F19"/>
    <w:rsid w:val="00C613FC"/>
    <w:rsid w:val="00C619BA"/>
    <w:rsid w:val="00C621FE"/>
    <w:rsid w:val="00C62547"/>
    <w:rsid w:val="00C63261"/>
    <w:rsid w:val="00C6360C"/>
    <w:rsid w:val="00C63D2B"/>
    <w:rsid w:val="00C6448B"/>
    <w:rsid w:val="00C64B04"/>
    <w:rsid w:val="00C6510D"/>
    <w:rsid w:val="00C65AE3"/>
    <w:rsid w:val="00C662D3"/>
    <w:rsid w:val="00C67041"/>
    <w:rsid w:val="00C677FA"/>
    <w:rsid w:val="00C67966"/>
    <w:rsid w:val="00C746FD"/>
    <w:rsid w:val="00C758F4"/>
    <w:rsid w:val="00C7625D"/>
    <w:rsid w:val="00C764ED"/>
    <w:rsid w:val="00C768BB"/>
    <w:rsid w:val="00C770E6"/>
    <w:rsid w:val="00C7777D"/>
    <w:rsid w:val="00C77E45"/>
    <w:rsid w:val="00C80404"/>
    <w:rsid w:val="00C80AE6"/>
    <w:rsid w:val="00C80C66"/>
    <w:rsid w:val="00C81BBB"/>
    <w:rsid w:val="00C82AF7"/>
    <w:rsid w:val="00C834F8"/>
    <w:rsid w:val="00C83A13"/>
    <w:rsid w:val="00C865FE"/>
    <w:rsid w:val="00C86833"/>
    <w:rsid w:val="00C86D14"/>
    <w:rsid w:val="00C870B7"/>
    <w:rsid w:val="00C879E1"/>
    <w:rsid w:val="00C87E0B"/>
    <w:rsid w:val="00C9068C"/>
    <w:rsid w:val="00C90BEF"/>
    <w:rsid w:val="00C92967"/>
    <w:rsid w:val="00C93974"/>
    <w:rsid w:val="00C93C5D"/>
    <w:rsid w:val="00C955E1"/>
    <w:rsid w:val="00C95AD1"/>
    <w:rsid w:val="00C95C02"/>
    <w:rsid w:val="00C9699F"/>
    <w:rsid w:val="00C97B08"/>
    <w:rsid w:val="00C97DD9"/>
    <w:rsid w:val="00CA0449"/>
    <w:rsid w:val="00CA0635"/>
    <w:rsid w:val="00CA0C6F"/>
    <w:rsid w:val="00CA1B7B"/>
    <w:rsid w:val="00CA25AE"/>
    <w:rsid w:val="00CA369F"/>
    <w:rsid w:val="00CA3940"/>
    <w:rsid w:val="00CA3D0C"/>
    <w:rsid w:val="00CA46DB"/>
    <w:rsid w:val="00CA4DDD"/>
    <w:rsid w:val="00CA4F06"/>
    <w:rsid w:val="00CA4F30"/>
    <w:rsid w:val="00CA5A0F"/>
    <w:rsid w:val="00CA5A71"/>
    <w:rsid w:val="00CA5CB2"/>
    <w:rsid w:val="00CA5D9A"/>
    <w:rsid w:val="00CA6047"/>
    <w:rsid w:val="00CA60F1"/>
    <w:rsid w:val="00CA654B"/>
    <w:rsid w:val="00CA7963"/>
    <w:rsid w:val="00CB0D8D"/>
    <w:rsid w:val="00CB145A"/>
    <w:rsid w:val="00CB2926"/>
    <w:rsid w:val="00CB3AA9"/>
    <w:rsid w:val="00CB3BBB"/>
    <w:rsid w:val="00CB474B"/>
    <w:rsid w:val="00CB4BF5"/>
    <w:rsid w:val="00CB5559"/>
    <w:rsid w:val="00CB70D0"/>
    <w:rsid w:val="00CB7944"/>
    <w:rsid w:val="00CB798F"/>
    <w:rsid w:val="00CB7BBB"/>
    <w:rsid w:val="00CB7BD7"/>
    <w:rsid w:val="00CC2196"/>
    <w:rsid w:val="00CC2D84"/>
    <w:rsid w:val="00CC524E"/>
    <w:rsid w:val="00CC5B1C"/>
    <w:rsid w:val="00CC609B"/>
    <w:rsid w:val="00CC7151"/>
    <w:rsid w:val="00CC7A6D"/>
    <w:rsid w:val="00CD0243"/>
    <w:rsid w:val="00CD04A3"/>
    <w:rsid w:val="00CD1FE4"/>
    <w:rsid w:val="00CD2681"/>
    <w:rsid w:val="00CD3D99"/>
    <w:rsid w:val="00CD4810"/>
    <w:rsid w:val="00CD4C7B"/>
    <w:rsid w:val="00CD5B79"/>
    <w:rsid w:val="00CD5D52"/>
    <w:rsid w:val="00CD6435"/>
    <w:rsid w:val="00CD6631"/>
    <w:rsid w:val="00CD6C20"/>
    <w:rsid w:val="00CD74AB"/>
    <w:rsid w:val="00CE1251"/>
    <w:rsid w:val="00CE2784"/>
    <w:rsid w:val="00CE2D7B"/>
    <w:rsid w:val="00CE2FB5"/>
    <w:rsid w:val="00CE3213"/>
    <w:rsid w:val="00CE5584"/>
    <w:rsid w:val="00CE56D2"/>
    <w:rsid w:val="00CE7CA1"/>
    <w:rsid w:val="00CF0686"/>
    <w:rsid w:val="00CF36E7"/>
    <w:rsid w:val="00CF3CB2"/>
    <w:rsid w:val="00CF522F"/>
    <w:rsid w:val="00CF5F13"/>
    <w:rsid w:val="00CF6971"/>
    <w:rsid w:val="00CF7475"/>
    <w:rsid w:val="00D0075D"/>
    <w:rsid w:val="00D009FA"/>
    <w:rsid w:val="00D01759"/>
    <w:rsid w:val="00D01782"/>
    <w:rsid w:val="00D022BF"/>
    <w:rsid w:val="00D030AF"/>
    <w:rsid w:val="00D032F5"/>
    <w:rsid w:val="00D04036"/>
    <w:rsid w:val="00D04D3A"/>
    <w:rsid w:val="00D05113"/>
    <w:rsid w:val="00D05BD7"/>
    <w:rsid w:val="00D06D5E"/>
    <w:rsid w:val="00D06D98"/>
    <w:rsid w:val="00D1031E"/>
    <w:rsid w:val="00D103DB"/>
    <w:rsid w:val="00D10FED"/>
    <w:rsid w:val="00D11A22"/>
    <w:rsid w:val="00D1215F"/>
    <w:rsid w:val="00D12271"/>
    <w:rsid w:val="00D1356E"/>
    <w:rsid w:val="00D15FEB"/>
    <w:rsid w:val="00D16CDC"/>
    <w:rsid w:val="00D203E0"/>
    <w:rsid w:val="00D21AD9"/>
    <w:rsid w:val="00D228D3"/>
    <w:rsid w:val="00D23E8D"/>
    <w:rsid w:val="00D24182"/>
    <w:rsid w:val="00D2542B"/>
    <w:rsid w:val="00D30013"/>
    <w:rsid w:val="00D30406"/>
    <w:rsid w:val="00D30510"/>
    <w:rsid w:val="00D30A8D"/>
    <w:rsid w:val="00D317C9"/>
    <w:rsid w:val="00D3258F"/>
    <w:rsid w:val="00D3279C"/>
    <w:rsid w:val="00D33622"/>
    <w:rsid w:val="00D34924"/>
    <w:rsid w:val="00D34B1E"/>
    <w:rsid w:val="00D368DF"/>
    <w:rsid w:val="00D377B2"/>
    <w:rsid w:val="00D402F5"/>
    <w:rsid w:val="00D40B82"/>
    <w:rsid w:val="00D410F5"/>
    <w:rsid w:val="00D424A2"/>
    <w:rsid w:val="00D4262C"/>
    <w:rsid w:val="00D42995"/>
    <w:rsid w:val="00D43109"/>
    <w:rsid w:val="00D435F0"/>
    <w:rsid w:val="00D43D1B"/>
    <w:rsid w:val="00D440AC"/>
    <w:rsid w:val="00D44734"/>
    <w:rsid w:val="00D4550C"/>
    <w:rsid w:val="00D45D24"/>
    <w:rsid w:val="00D461C0"/>
    <w:rsid w:val="00D47126"/>
    <w:rsid w:val="00D476E7"/>
    <w:rsid w:val="00D47CC2"/>
    <w:rsid w:val="00D47D34"/>
    <w:rsid w:val="00D52228"/>
    <w:rsid w:val="00D529F0"/>
    <w:rsid w:val="00D5343C"/>
    <w:rsid w:val="00D545C3"/>
    <w:rsid w:val="00D567C1"/>
    <w:rsid w:val="00D56D59"/>
    <w:rsid w:val="00D56E5A"/>
    <w:rsid w:val="00D60CD5"/>
    <w:rsid w:val="00D610CB"/>
    <w:rsid w:val="00D61B65"/>
    <w:rsid w:val="00D62B86"/>
    <w:rsid w:val="00D64452"/>
    <w:rsid w:val="00D644EA"/>
    <w:rsid w:val="00D678B0"/>
    <w:rsid w:val="00D679C7"/>
    <w:rsid w:val="00D70B4E"/>
    <w:rsid w:val="00D729EE"/>
    <w:rsid w:val="00D738D6"/>
    <w:rsid w:val="00D74157"/>
    <w:rsid w:val="00D7473D"/>
    <w:rsid w:val="00D761AD"/>
    <w:rsid w:val="00D7637A"/>
    <w:rsid w:val="00D77881"/>
    <w:rsid w:val="00D77EBE"/>
    <w:rsid w:val="00D80428"/>
    <w:rsid w:val="00D80795"/>
    <w:rsid w:val="00D80C75"/>
    <w:rsid w:val="00D80FF6"/>
    <w:rsid w:val="00D8136C"/>
    <w:rsid w:val="00D81CC3"/>
    <w:rsid w:val="00D83516"/>
    <w:rsid w:val="00D83A19"/>
    <w:rsid w:val="00D84B35"/>
    <w:rsid w:val="00D8542C"/>
    <w:rsid w:val="00D856E9"/>
    <w:rsid w:val="00D85FEB"/>
    <w:rsid w:val="00D8610D"/>
    <w:rsid w:val="00D87350"/>
    <w:rsid w:val="00D87E00"/>
    <w:rsid w:val="00D90B98"/>
    <w:rsid w:val="00D9134D"/>
    <w:rsid w:val="00D92870"/>
    <w:rsid w:val="00D93862"/>
    <w:rsid w:val="00D94D71"/>
    <w:rsid w:val="00D95AF8"/>
    <w:rsid w:val="00D9649B"/>
    <w:rsid w:val="00D96D11"/>
    <w:rsid w:val="00D96EC8"/>
    <w:rsid w:val="00D97239"/>
    <w:rsid w:val="00D97448"/>
    <w:rsid w:val="00D97A15"/>
    <w:rsid w:val="00DA0361"/>
    <w:rsid w:val="00DA2463"/>
    <w:rsid w:val="00DA2508"/>
    <w:rsid w:val="00DA251C"/>
    <w:rsid w:val="00DA3306"/>
    <w:rsid w:val="00DA34BB"/>
    <w:rsid w:val="00DA3A87"/>
    <w:rsid w:val="00DA5616"/>
    <w:rsid w:val="00DA6F3D"/>
    <w:rsid w:val="00DA7978"/>
    <w:rsid w:val="00DA7A03"/>
    <w:rsid w:val="00DB040E"/>
    <w:rsid w:val="00DB1556"/>
    <w:rsid w:val="00DB1818"/>
    <w:rsid w:val="00DB182D"/>
    <w:rsid w:val="00DB20C0"/>
    <w:rsid w:val="00DB2A3C"/>
    <w:rsid w:val="00DB32FE"/>
    <w:rsid w:val="00DB357F"/>
    <w:rsid w:val="00DB62B2"/>
    <w:rsid w:val="00DB641E"/>
    <w:rsid w:val="00DB64AA"/>
    <w:rsid w:val="00DB68F2"/>
    <w:rsid w:val="00DB7665"/>
    <w:rsid w:val="00DC23C9"/>
    <w:rsid w:val="00DC24D6"/>
    <w:rsid w:val="00DC285B"/>
    <w:rsid w:val="00DC293C"/>
    <w:rsid w:val="00DC309B"/>
    <w:rsid w:val="00DC3624"/>
    <w:rsid w:val="00DC3FD4"/>
    <w:rsid w:val="00DC417F"/>
    <w:rsid w:val="00DC4DA2"/>
    <w:rsid w:val="00DC5306"/>
    <w:rsid w:val="00DC590B"/>
    <w:rsid w:val="00DC5F65"/>
    <w:rsid w:val="00DC64C8"/>
    <w:rsid w:val="00DC72C8"/>
    <w:rsid w:val="00DC7998"/>
    <w:rsid w:val="00DC7A62"/>
    <w:rsid w:val="00DD08A0"/>
    <w:rsid w:val="00DD09A5"/>
    <w:rsid w:val="00DD1029"/>
    <w:rsid w:val="00DD1BBD"/>
    <w:rsid w:val="00DD217C"/>
    <w:rsid w:val="00DD2204"/>
    <w:rsid w:val="00DD2B1A"/>
    <w:rsid w:val="00DD42F1"/>
    <w:rsid w:val="00DD4D57"/>
    <w:rsid w:val="00DD50EB"/>
    <w:rsid w:val="00DD68AB"/>
    <w:rsid w:val="00DD7C5D"/>
    <w:rsid w:val="00DE0D91"/>
    <w:rsid w:val="00DE0EBB"/>
    <w:rsid w:val="00DE0EEE"/>
    <w:rsid w:val="00DE102C"/>
    <w:rsid w:val="00DE17D1"/>
    <w:rsid w:val="00DE298B"/>
    <w:rsid w:val="00DE3260"/>
    <w:rsid w:val="00DE340B"/>
    <w:rsid w:val="00DE410A"/>
    <w:rsid w:val="00DE47F0"/>
    <w:rsid w:val="00DE4A44"/>
    <w:rsid w:val="00DE5365"/>
    <w:rsid w:val="00DE570C"/>
    <w:rsid w:val="00DE7360"/>
    <w:rsid w:val="00DF08DF"/>
    <w:rsid w:val="00DF1CCE"/>
    <w:rsid w:val="00DF232A"/>
    <w:rsid w:val="00DF2C28"/>
    <w:rsid w:val="00DF3532"/>
    <w:rsid w:val="00DF3D5B"/>
    <w:rsid w:val="00DF50F1"/>
    <w:rsid w:val="00DF55F3"/>
    <w:rsid w:val="00DF6C23"/>
    <w:rsid w:val="00DF7852"/>
    <w:rsid w:val="00DF7A49"/>
    <w:rsid w:val="00E003DA"/>
    <w:rsid w:val="00E02647"/>
    <w:rsid w:val="00E02E71"/>
    <w:rsid w:val="00E031D2"/>
    <w:rsid w:val="00E03698"/>
    <w:rsid w:val="00E0500A"/>
    <w:rsid w:val="00E05985"/>
    <w:rsid w:val="00E05C45"/>
    <w:rsid w:val="00E060D4"/>
    <w:rsid w:val="00E062E3"/>
    <w:rsid w:val="00E06CEA"/>
    <w:rsid w:val="00E07D5F"/>
    <w:rsid w:val="00E10A8A"/>
    <w:rsid w:val="00E13945"/>
    <w:rsid w:val="00E13A16"/>
    <w:rsid w:val="00E14024"/>
    <w:rsid w:val="00E15C7D"/>
    <w:rsid w:val="00E15DBA"/>
    <w:rsid w:val="00E1680E"/>
    <w:rsid w:val="00E17CE8"/>
    <w:rsid w:val="00E21ACC"/>
    <w:rsid w:val="00E22534"/>
    <w:rsid w:val="00E22A55"/>
    <w:rsid w:val="00E234E2"/>
    <w:rsid w:val="00E240EC"/>
    <w:rsid w:val="00E24C99"/>
    <w:rsid w:val="00E24FD1"/>
    <w:rsid w:val="00E251C0"/>
    <w:rsid w:val="00E2647C"/>
    <w:rsid w:val="00E26B08"/>
    <w:rsid w:val="00E2749F"/>
    <w:rsid w:val="00E30BB2"/>
    <w:rsid w:val="00E3102B"/>
    <w:rsid w:val="00E32644"/>
    <w:rsid w:val="00E335D9"/>
    <w:rsid w:val="00E341C9"/>
    <w:rsid w:val="00E34B1B"/>
    <w:rsid w:val="00E34FFC"/>
    <w:rsid w:val="00E36407"/>
    <w:rsid w:val="00E374F5"/>
    <w:rsid w:val="00E375A2"/>
    <w:rsid w:val="00E3767B"/>
    <w:rsid w:val="00E404C7"/>
    <w:rsid w:val="00E4091C"/>
    <w:rsid w:val="00E41036"/>
    <w:rsid w:val="00E4186F"/>
    <w:rsid w:val="00E41FFB"/>
    <w:rsid w:val="00E42EFE"/>
    <w:rsid w:val="00E45800"/>
    <w:rsid w:val="00E45D90"/>
    <w:rsid w:val="00E45DEB"/>
    <w:rsid w:val="00E474AB"/>
    <w:rsid w:val="00E50B84"/>
    <w:rsid w:val="00E520A3"/>
    <w:rsid w:val="00E53777"/>
    <w:rsid w:val="00E539A4"/>
    <w:rsid w:val="00E555B7"/>
    <w:rsid w:val="00E56BA9"/>
    <w:rsid w:val="00E56F52"/>
    <w:rsid w:val="00E60158"/>
    <w:rsid w:val="00E60A40"/>
    <w:rsid w:val="00E60C95"/>
    <w:rsid w:val="00E60D7B"/>
    <w:rsid w:val="00E61B39"/>
    <w:rsid w:val="00E62835"/>
    <w:rsid w:val="00E6390C"/>
    <w:rsid w:val="00E63C54"/>
    <w:rsid w:val="00E64523"/>
    <w:rsid w:val="00E65BEC"/>
    <w:rsid w:val="00E66A0A"/>
    <w:rsid w:val="00E66B89"/>
    <w:rsid w:val="00E702ED"/>
    <w:rsid w:val="00E70323"/>
    <w:rsid w:val="00E7077A"/>
    <w:rsid w:val="00E70897"/>
    <w:rsid w:val="00E718F4"/>
    <w:rsid w:val="00E71D64"/>
    <w:rsid w:val="00E721D6"/>
    <w:rsid w:val="00E725FB"/>
    <w:rsid w:val="00E72FC1"/>
    <w:rsid w:val="00E73D4C"/>
    <w:rsid w:val="00E74027"/>
    <w:rsid w:val="00E7489D"/>
    <w:rsid w:val="00E75863"/>
    <w:rsid w:val="00E766BA"/>
    <w:rsid w:val="00E769D9"/>
    <w:rsid w:val="00E77645"/>
    <w:rsid w:val="00E77913"/>
    <w:rsid w:val="00E77CAB"/>
    <w:rsid w:val="00E80643"/>
    <w:rsid w:val="00E807AC"/>
    <w:rsid w:val="00E80BAB"/>
    <w:rsid w:val="00E81028"/>
    <w:rsid w:val="00E814C7"/>
    <w:rsid w:val="00E81530"/>
    <w:rsid w:val="00E82203"/>
    <w:rsid w:val="00E83697"/>
    <w:rsid w:val="00E83B14"/>
    <w:rsid w:val="00E8445D"/>
    <w:rsid w:val="00E92A2A"/>
    <w:rsid w:val="00E9354A"/>
    <w:rsid w:val="00E95545"/>
    <w:rsid w:val="00E96206"/>
    <w:rsid w:val="00E96281"/>
    <w:rsid w:val="00EA0B6D"/>
    <w:rsid w:val="00EA1979"/>
    <w:rsid w:val="00EA21C8"/>
    <w:rsid w:val="00EA43F1"/>
    <w:rsid w:val="00EA5286"/>
    <w:rsid w:val="00EA545F"/>
    <w:rsid w:val="00EB128E"/>
    <w:rsid w:val="00EB2C6E"/>
    <w:rsid w:val="00EB33A2"/>
    <w:rsid w:val="00EB35B1"/>
    <w:rsid w:val="00EB4E44"/>
    <w:rsid w:val="00EB6764"/>
    <w:rsid w:val="00EB7D3D"/>
    <w:rsid w:val="00EB7D89"/>
    <w:rsid w:val="00EC0B53"/>
    <w:rsid w:val="00EC1237"/>
    <w:rsid w:val="00EC198A"/>
    <w:rsid w:val="00EC2049"/>
    <w:rsid w:val="00EC28C1"/>
    <w:rsid w:val="00EC480D"/>
    <w:rsid w:val="00EC4919"/>
    <w:rsid w:val="00EC4A25"/>
    <w:rsid w:val="00EC5700"/>
    <w:rsid w:val="00EC6001"/>
    <w:rsid w:val="00EC6742"/>
    <w:rsid w:val="00EC694C"/>
    <w:rsid w:val="00EC7602"/>
    <w:rsid w:val="00EC779F"/>
    <w:rsid w:val="00ED0B03"/>
    <w:rsid w:val="00ED103A"/>
    <w:rsid w:val="00ED1486"/>
    <w:rsid w:val="00ED33D9"/>
    <w:rsid w:val="00ED3AFF"/>
    <w:rsid w:val="00ED3B60"/>
    <w:rsid w:val="00ED5065"/>
    <w:rsid w:val="00ED5500"/>
    <w:rsid w:val="00ED5755"/>
    <w:rsid w:val="00ED5B16"/>
    <w:rsid w:val="00ED645E"/>
    <w:rsid w:val="00ED6C6D"/>
    <w:rsid w:val="00ED747E"/>
    <w:rsid w:val="00ED7640"/>
    <w:rsid w:val="00ED7BA2"/>
    <w:rsid w:val="00EE08E0"/>
    <w:rsid w:val="00EE0D6E"/>
    <w:rsid w:val="00EE18DB"/>
    <w:rsid w:val="00EE1FD5"/>
    <w:rsid w:val="00EE2114"/>
    <w:rsid w:val="00EE217F"/>
    <w:rsid w:val="00EE2A6A"/>
    <w:rsid w:val="00EE2AA2"/>
    <w:rsid w:val="00EE2B00"/>
    <w:rsid w:val="00EE34B4"/>
    <w:rsid w:val="00EE44AD"/>
    <w:rsid w:val="00EE4B58"/>
    <w:rsid w:val="00EE529A"/>
    <w:rsid w:val="00EE61C4"/>
    <w:rsid w:val="00EE6572"/>
    <w:rsid w:val="00EE6934"/>
    <w:rsid w:val="00EF102B"/>
    <w:rsid w:val="00EF32C8"/>
    <w:rsid w:val="00EF338F"/>
    <w:rsid w:val="00EF4CD1"/>
    <w:rsid w:val="00EF54D1"/>
    <w:rsid w:val="00EF77C1"/>
    <w:rsid w:val="00EF7B25"/>
    <w:rsid w:val="00F006C9"/>
    <w:rsid w:val="00F0103A"/>
    <w:rsid w:val="00F010D7"/>
    <w:rsid w:val="00F01B00"/>
    <w:rsid w:val="00F01E08"/>
    <w:rsid w:val="00F025A2"/>
    <w:rsid w:val="00F02CD0"/>
    <w:rsid w:val="00F0548C"/>
    <w:rsid w:val="00F05835"/>
    <w:rsid w:val="00F068B5"/>
    <w:rsid w:val="00F07388"/>
    <w:rsid w:val="00F07FD6"/>
    <w:rsid w:val="00F109EF"/>
    <w:rsid w:val="00F11640"/>
    <w:rsid w:val="00F116F9"/>
    <w:rsid w:val="00F1226E"/>
    <w:rsid w:val="00F1293D"/>
    <w:rsid w:val="00F15738"/>
    <w:rsid w:val="00F15B45"/>
    <w:rsid w:val="00F1634B"/>
    <w:rsid w:val="00F16844"/>
    <w:rsid w:val="00F16B52"/>
    <w:rsid w:val="00F17CF4"/>
    <w:rsid w:val="00F2026E"/>
    <w:rsid w:val="00F20407"/>
    <w:rsid w:val="00F21098"/>
    <w:rsid w:val="00F21E8D"/>
    <w:rsid w:val="00F21E92"/>
    <w:rsid w:val="00F2210A"/>
    <w:rsid w:val="00F24379"/>
    <w:rsid w:val="00F24A94"/>
    <w:rsid w:val="00F25B1A"/>
    <w:rsid w:val="00F26115"/>
    <w:rsid w:val="00F26770"/>
    <w:rsid w:val="00F26C21"/>
    <w:rsid w:val="00F27967"/>
    <w:rsid w:val="00F3031B"/>
    <w:rsid w:val="00F306F9"/>
    <w:rsid w:val="00F3089B"/>
    <w:rsid w:val="00F31DE5"/>
    <w:rsid w:val="00F32D2C"/>
    <w:rsid w:val="00F33006"/>
    <w:rsid w:val="00F33730"/>
    <w:rsid w:val="00F35A68"/>
    <w:rsid w:val="00F36DDD"/>
    <w:rsid w:val="00F36F7E"/>
    <w:rsid w:val="00F37293"/>
    <w:rsid w:val="00F37743"/>
    <w:rsid w:val="00F37DEC"/>
    <w:rsid w:val="00F41AEF"/>
    <w:rsid w:val="00F43429"/>
    <w:rsid w:val="00F44553"/>
    <w:rsid w:val="00F44FCE"/>
    <w:rsid w:val="00F4523A"/>
    <w:rsid w:val="00F4589D"/>
    <w:rsid w:val="00F4659E"/>
    <w:rsid w:val="00F4667C"/>
    <w:rsid w:val="00F466F5"/>
    <w:rsid w:val="00F46BC9"/>
    <w:rsid w:val="00F472A7"/>
    <w:rsid w:val="00F4731F"/>
    <w:rsid w:val="00F4778D"/>
    <w:rsid w:val="00F47F2C"/>
    <w:rsid w:val="00F503C0"/>
    <w:rsid w:val="00F505A0"/>
    <w:rsid w:val="00F50908"/>
    <w:rsid w:val="00F50B10"/>
    <w:rsid w:val="00F51239"/>
    <w:rsid w:val="00F53AAD"/>
    <w:rsid w:val="00F53B29"/>
    <w:rsid w:val="00F53EAE"/>
    <w:rsid w:val="00F54A3D"/>
    <w:rsid w:val="00F54F7D"/>
    <w:rsid w:val="00F551F3"/>
    <w:rsid w:val="00F56223"/>
    <w:rsid w:val="00F56E3C"/>
    <w:rsid w:val="00F6046C"/>
    <w:rsid w:val="00F6219E"/>
    <w:rsid w:val="00F624EB"/>
    <w:rsid w:val="00F625FB"/>
    <w:rsid w:val="00F6294D"/>
    <w:rsid w:val="00F6313F"/>
    <w:rsid w:val="00F64DB4"/>
    <w:rsid w:val="00F64E52"/>
    <w:rsid w:val="00F653B8"/>
    <w:rsid w:val="00F676C4"/>
    <w:rsid w:val="00F67CC6"/>
    <w:rsid w:val="00F70F60"/>
    <w:rsid w:val="00F71975"/>
    <w:rsid w:val="00F71A91"/>
    <w:rsid w:val="00F71B89"/>
    <w:rsid w:val="00F7353C"/>
    <w:rsid w:val="00F73C3A"/>
    <w:rsid w:val="00F73FB1"/>
    <w:rsid w:val="00F7453F"/>
    <w:rsid w:val="00F75113"/>
    <w:rsid w:val="00F75703"/>
    <w:rsid w:val="00F75733"/>
    <w:rsid w:val="00F765F4"/>
    <w:rsid w:val="00F768D5"/>
    <w:rsid w:val="00F76F8F"/>
    <w:rsid w:val="00F8001F"/>
    <w:rsid w:val="00F80C4B"/>
    <w:rsid w:val="00F812B5"/>
    <w:rsid w:val="00F8149E"/>
    <w:rsid w:val="00F8181F"/>
    <w:rsid w:val="00F81B09"/>
    <w:rsid w:val="00F82152"/>
    <w:rsid w:val="00F82F99"/>
    <w:rsid w:val="00F83BFE"/>
    <w:rsid w:val="00F83C21"/>
    <w:rsid w:val="00F83C6A"/>
    <w:rsid w:val="00F84210"/>
    <w:rsid w:val="00F84F4D"/>
    <w:rsid w:val="00F85197"/>
    <w:rsid w:val="00F85934"/>
    <w:rsid w:val="00F87981"/>
    <w:rsid w:val="00F9061E"/>
    <w:rsid w:val="00F90779"/>
    <w:rsid w:val="00F90A4E"/>
    <w:rsid w:val="00F9183D"/>
    <w:rsid w:val="00F92103"/>
    <w:rsid w:val="00F93279"/>
    <w:rsid w:val="00F93962"/>
    <w:rsid w:val="00F9482F"/>
    <w:rsid w:val="00F948E5"/>
    <w:rsid w:val="00F94E72"/>
    <w:rsid w:val="00F950B0"/>
    <w:rsid w:val="00F956B6"/>
    <w:rsid w:val="00F96394"/>
    <w:rsid w:val="00F96921"/>
    <w:rsid w:val="00F96EA8"/>
    <w:rsid w:val="00F9768B"/>
    <w:rsid w:val="00F97EE7"/>
    <w:rsid w:val="00FA03FA"/>
    <w:rsid w:val="00FA074D"/>
    <w:rsid w:val="00FA0ED0"/>
    <w:rsid w:val="00FA1266"/>
    <w:rsid w:val="00FA24B9"/>
    <w:rsid w:val="00FA2B51"/>
    <w:rsid w:val="00FA3849"/>
    <w:rsid w:val="00FA4966"/>
    <w:rsid w:val="00FA4F41"/>
    <w:rsid w:val="00FA5626"/>
    <w:rsid w:val="00FA56F8"/>
    <w:rsid w:val="00FA63FF"/>
    <w:rsid w:val="00FA6579"/>
    <w:rsid w:val="00FA7D68"/>
    <w:rsid w:val="00FB05F2"/>
    <w:rsid w:val="00FB161A"/>
    <w:rsid w:val="00FB16A0"/>
    <w:rsid w:val="00FB27E1"/>
    <w:rsid w:val="00FB2FC2"/>
    <w:rsid w:val="00FB3E24"/>
    <w:rsid w:val="00FB5065"/>
    <w:rsid w:val="00FB5CA7"/>
    <w:rsid w:val="00FB6CAF"/>
    <w:rsid w:val="00FB7E5F"/>
    <w:rsid w:val="00FC1192"/>
    <w:rsid w:val="00FC1CE1"/>
    <w:rsid w:val="00FC240E"/>
    <w:rsid w:val="00FC3516"/>
    <w:rsid w:val="00FC3F06"/>
    <w:rsid w:val="00FC4365"/>
    <w:rsid w:val="00FC5AA6"/>
    <w:rsid w:val="00FC629F"/>
    <w:rsid w:val="00FC7D8A"/>
    <w:rsid w:val="00FD1F50"/>
    <w:rsid w:val="00FD2379"/>
    <w:rsid w:val="00FD2F21"/>
    <w:rsid w:val="00FD40D1"/>
    <w:rsid w:val="00FD4525"/>
    <w:rsid w:val="00FD479C"/>
    <w:rsid w:val="00FD4E66"/>
    <w:rsid w:val="00FD4EDD"/>
    <w:rsid w:val="00FD556C"/>
    <w:rsid w:val="00FD5648"/>
    <w:rsid w:val="00FD5985"/>
    <w:rsid w:val="00FD654D"/>
    <w:rsid w:val="00FD68BD"/>
    <w:rsid w:val="00FE2124"/>
    <w:rsid w:val="00FE3096"/>
    <w:rsid w:val="00FE3426"/>
    <w:rsid w:val="00FE3573"/>
    <w:rsid w:val="00FE480E"/>
    <w:rsid w:val="00FE4ED3"/>
    <w:rsid w:val="00FE6437"/>
    <w:rsid w:val="00FE774C"/>
    <w:rsid w:val="00FE7BBB"/>
    <w:rsid w:val="00FF13FA"/>
    <w:rsid w:val="00FF168A"/>
    <w:rsid w:val="00FF3689"/>
    <w:rsid w:val="00FF5A9E"/>
    <w:rsid w:val="00FF6749"/>
    <w:rsid w:val="00FF7373"/>
    <w:rsid w:val="00FF7D8F"/>
    <w:rsid w:val="0A8C0B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US"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9">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Document Map"/>
    <w:basedOn w:val="1"/>
    <w:link w:val="71"/>
    <w:semiHidden/>
    <w:unhideWhenUsed/>
    <w:qFormat/>
    <w:uiPriority w:val="0"/>
    <w:rPr>
      <w:rFonts w:ascii="宋体"/>
      <w:sz w:val="18"/>
      <w:szCs w:val="18"/>
    </w:rPr>
  </w:style>
  <w:style w:type="paragraph" w:styleId="20">
    <w:name w:val="annotation text"/>
    <w:basedOn w:val="1"/>
    <w:link w:val="74"/>
    <w:semiHidden/>
    <w:unhideWhenUsed/>
    <w:qFormat/>
    <w:uiPriority w:val="0"/>
  </w:style>
  <w:style w:type="paragraph" w:styleId="21">
    <w:name w:val="toc 8"/>
    <w:basedOn w:val="18"/>
    <w:next w:val="1"/>
    <w:semiHidden/>
    <w:qFormat/>
    <w:uiPriority w:val="0"/>
    <w:pPr>
      <w:spacing w:before="180"/>
      <w:ind w:left="2693" w:hanging="2693"/>
    </w:pPr>
    <w:rPr>
      <w:b/>
    </w:rPr>
  </w:style>
  <w:style w:type="paragraph" w:styleId="22">
    <w:name w:val="Balloon Text"/>
    <w:basedOn w:val="1"/>
    <w:link w:val="70"/>
    <w:semiHidden/>
    <w:unhideWhenUsed/>
    <w:qFormat/>
    <w:uiPriority w:val="0"/>
    <w:pPr>
      <w:spacing w:after="0"/>
    </w:pPr>
    <w:rPr>
      <w:rFonts w:ascii="Segoe UI" w:hAnsi="Segoe UI" w:cs="Segoe UI"/>
      <w:sz w:val="18"/>
      <w:szCs w:val="18"/>
    </w:rPr>
  </w:style>
  <w:style w:type="paragraph" w:styleId="23">
    <w:name w:val="footer"/>
    <w:basedOn w:val="24"/>
    <w:qFormat/>
    <w:uiPriority w:val="0"/>
    <w:pPr>
      <w:jc w:val="center"/>
    </w:pPr>
    <w:rPr>
      <w:i/>
    </w:rPr>
  </w:style>
  <w:style w:type="paragraph" w:styleId="24">
    <w:name w:val="header"/>
    <w:link w:val="67"/>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25">
    <w:name w:val="toc 9"/>
    <w:basedOn w:val="21"/>
    <w:next w:val="1"/>
    <w:semiHidden/>
    <w:qFormat/>
    <w:uiPriority w:val="0"/>
    <w:pPr>
      <w:ind w:left="1418" w:hanging="1418"/>
    </w:pPr>
  </w:style>
  <w:style w:type="paragraph" w:styleId="26">
    <w:name w:val="annotation subject"/>
    <w:basedOn w:val="20"/>
    <w:next w:val="20"/>
    <w:link w:val="75"/>
    <w:semiHidden/>
    <w:unhideWhenUsed/>
    <w:qFormat/>
    <w:uiPriority w:val="0"/>
    <w:rPr>
      <w:b/>
      <w:bCs/>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Hyperlink"/>
    <w:qFormat/>
    <w:uiPriority w:val="0"/>
    <w:rPr>
      <w:color w:val="0000FF"/>
      <w:u w:val="single"/>
    </w:rPr>
  </w:style>
  <w:style w:type="character" w:styleId="31">
    <w:name w:val="annotation reference"/>
    <w:basedOn w:val="29"/>
    <w:semiHidden/>
    <w:unhideWhenUsed/>
    <w:qFormat/>
    <w:uiPriority w:val="0"/>
    <w:rPr>
      <w:sz w:val="21"/>
      <w:szCs w:val="21"/>
    </w:rPr>
  </w:style>
  <w:style w:type="paragraph" w:customStyle="1" w:styleId="32">
    <w:name w:val="EQ"/>
    <w:basedOn w:val="1"/>
    <w:next w:val="1"/>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qFormat/>
    <w:uiPriority w:val="0"/>
    <w:pPr>
      <w:keepLines/>
      <w:ind w:left="1135" w:hanging="851"/>
    </w:pPr>
  </w:style>
  <w:style w:type="paragraph" w:customStyle="1" w:styleId="38">
    <w:name w:val="PL"/>
    <w:link w:val="7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39">
    <w:name w:val="TAR"/>
    <w:basedOn w:val="40"/>
    <w:qFormat/>
    <w:uiPriority w:val="0"/>
    <w:pPr>
      <w:jc w:val="right"/>
    </w:pPr>
  </w:style>
  <w:style w:type="paragraph" w:customStyle="1" w:styleId="40">
    <w:name w:val="TAL"/>
    <w:basedOn w:val="1"/>
    <w:link w:val="85"/>
    <w:qFormat/>
    <w:uiPriority w:val="0"/>
    <w:pPr>
      <w:keepNext/>
      <w:keepLines/>
      <w:spacing w:after="0"/>
    </w:pPr>
    <w:rPr>
      <w:rFonts w:ascii="Arial" w:hAnsi="Arial"/>
      <w:sz w:val="18"/>
    </w:rPr>
  </w:style>
  <w:style w:type="paragraph" w:customStyle="1" w:styleId="41">
    <w:name w:val="TAH"/>
    <w:basedOn w:val="42"/>
    <w:link w:val="86"/>
    <w:qFormat/>
    <w:uiPriority w:val="0"/>
    <w:rPr>
      <w:b/>
    </w:rPr>
  </w:style>
  <w:style w:type="paragraph" w:customStyle="1" w:styleId="42">
    <w:name w:val="TAC"/>
    <w:basedOn w:val="40"/>
    <w:qFormat/>
    <w:uiPriority w:val="0"/>
    <w:pPr>
      <w:jc w:val="center"/>
    </w:pPr>
  </w:style>
  <w:style w:type="paragraph" w:customStyle="1" w:styleId="43">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1"/>
    <w:link w:val="83"/>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link w:val="81"/>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55">
    <w:name w:val="TAN"/>
    <w:basedOn w:val="40"/>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7">
    <w:name w:val="TF"/>
    <w:basedOn w:val="50"/>
    <w:link w:val="82"/>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59">
    <w:name w:val="B2"/>
    <w:basedOn w:val="1"/>
    <w:link w:val="84"/>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qFormat/>
    <w:uiPriority w:val="0"/>
    <w:rPr>
      <w:i/>
      <w:color w:val="0000FF"/>
    </w:rPr>
  </w:style>
  <w:style w:type="character" w:customStyle="1" w:styleId="67">
    <w:name w:val="页眉 字符"/>
    <w:link w:val="24"/>
    <w:qFormat/>
    <w:uiPriority w:val="0"/>
    <w:rPr>
      <w:rFonts w:ascii="Arial" w:hAnsi="Arial"/>
      <w:b/>
      <w:sz w:val="18"/>
      <w:lang w:val="en-GB" w:eastAsia="ja-JP" w:bidi="ar-SA"/>
    </w:rPr>
  </w:style>
  <w:style w:type="paragraph" w:customStyle="1" w:styleId="68">
    <w:name w:val="CR Cover Page"/>
    <w:qFormat/>
    <w:uiPriority w:val="0"/>
    <w:pPr>
      <w:spacing w:after="120"/>
    </w:pPr>
    <w:rPr>
      <w:rFonts w:ascii="Arial" w:hAnsi="Arial" w:eastAsia="MS Mincho" w:cs="Times New Roman"/>
      <w:lang w:val="en-GB" w:eastAsia="en-US" w:bidi="ar-SA"/>
    </w:rPr>
  </w:style>
  <w:style w:type="paragraph" w:styleId="69">
    <w:name w:val="List Paragraph"/>
    <w:basedOn w:val="1"/>
    <w:qFormat/>
    <w:uiPriority w:val="34"/>
    <w:pPr>
      <w:ind w:left="720"/>
      <w:contextualSpacing/>
    </w:pPr>
  </w:style>
  <w:style w:type="character" w:customStyle="1" w:styleId="70">
    <w:name w:val="批注框文本 字符"/>
    <w:basedOn w:val="29"/>
    <w:link w:val="22"/>
    <w:semiHidden/>
    <w:qFormat/>
    <w:uiPriority w:val="0"/>
    <w:rPr>
      <w:rFonts w:ascii="Segoe UI" w:hAnsi="Segoe UI" w:cs="Segoe UI"/>
      <w:sz w:val="18"/>
      <w:szCs w:val="18"/>
      <w:lang w:eastAsia="en-US"/>
    </w:rPr>
  </w:style>
  <w:style w:type="character" w:customStyle="1" w:styleId="71">
    <w:name w:val="文档结构图 字符"/>
    <w:basedOn w:val="29"/>
    <w:link w:val="19"/>
    <w:semiHidden/>
    <w:qFormat/>
    <w:uiPriority w:val="0"/>
    <w:rPr>
      <w:rFonts w:ascii="宋体"/>
      <w:sz w:val="18"/>
      <w:szCs w:val="18"/>
      <w:lang w:eastAsia="en-US"/>
    </w:rPr>
  </w:style>
  <w:style w:type="paragraph" w:customStyle="1" w:styleId="72">
    <w:name w:val="Agreement"/>
    <w:basedOn w:val="1"/>
    <w:next w:val="1"/>
    <w:qFormat/>
    <w:uiPriority w:val="99"/>
    <w:pPr>
      <w:numPr>
        <w:ilvl w:val="0"/>
        <w:numId w:val="1"/>
      </w:numPr>
      <w:spacing w:before="60" w:after="0"/>
    </w:pPr>
    <w:rPr>
      <w:rFonts w:ascii="Arial" w:hAnsi="Arial" w:eastAsia="MS Mincho"/>
      <w:b/>
      <w:szCs w:val="24"/>
      <w:lang w:eastAsia="en-GB"/>
    </w:rPr>
  </w:style>
  <w:style w:type="paragraph" w:customStyle="1" w:styleId="73">
    <w:name w:val="Revision"/>
    <w:hidden/>
    <w:semiHidden/>
    <w:qFormat/>
    <w:uiPriority w:val="99"/>
    <w:rPr>
      <w:rFonts w:ascii="Times New Roman" w:hAnsi="Times New Roman" w:eastAsia="宋体" w:cs="Times New Roman"/>
      <w:lang w:val="en-US" w:eastAsia="en-US" w:bidi="ar-SA"/>
    </w:rPr>
  </w:style>
  <w:style w:type="character" w:customStyle="1" w:styleId="74">
    <w:name w:val="批注文字 字符"/>
    <w:basedOn w:val="29"/>
    <w:link w:val="20"/>
    <w:semiHidden/>
    <w:qFormat/>
    <w:uiPriority w:val="0"/>
    <w:rPr>
      <w:lang w:val="en-US" w:eastAsia="en-US"/>
    </w:rPr>
  </w:style>
  <w:style w:type="character" w:customStyle="1" w:styleId="75">
    <w:name w:val="批注主题 字符"/>
    <w:basedOn w:val="74"/>
    <w:link w:val="26"/>
    <w:semiHidden/>
    <w:qFormat/>
    <w:uiPriority w:val="0"/>
    <w:rPr>
      <w:b/>
      <w:bCs/>
      <w:lang w:val="en-US" w:eastAsia="en-US"/>
    </w:rPr>
  </w:style>
  <w:style w:type="character" w:customStyle="1" w:styleId="76">
    <w:name w:val="PL Char"/>
    <w:link w:val="38"/>
    <w:qFormat/>
    <w:uiPriority w:val="0"/>
    <w:rPr>
      <w:rFonts w:ascii="Courier New" w:hAnsi="Courier New"/>
      <w:sz w:val="16"/>
      <w:lang w:eastAsia="en-US"/>
    </w:rPr>
  </w:style>
  <w:style w:type="paragraph" w:customStyle="1" w:styleId="77">
    <w:name w:val="3GPP_Header"/>
    <w:basedOn w:val="1"/>
    <w:link w:val="78"/>
    <w:qFormat/>
    <w:uiPriority w:val="0"/>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character" w:customStyle="1" w:styleId="78">
    <w:name w:val="3GPP_Header Char"/>
    <w:link w:val="77"/>
    <w:qFormat/>
    <w:uiPriority w:val="0"/>
    <w:rPr>
      <w:rFonts w:eastAsia="Times New Roman"/>
      <w:b/>
      <w:sz w:val="24"/>
      <w:lang w:eastAsia="zh-CN"/>
    </w:rPr>
  </w:style>
  <w:style w:type="paragraph" w:customStyle="1" w:styleId="79">
    <w:name w:val="Comments"/>
    <w:basedOn w:val="1"/>
    <w:link w:val="80"/>
    <w:qFormat/>
    <w:uiPriority w:val="0"/>
    <w:pPr>
      <w:spacing w:before="40" w:after="0"/>
    </w:pPr>
    <w:rPr>
      <w:rFonts w:ascii="Arial" w:hAnsi="Arial" w:eastAsia="MS Mincho"/>
      <w:i/>
      <w:sz w:val="18"/>
      <w:szCs w:val="24"/>
      <w:lang w:val="en-GB" w:eastAsia="en-GB"/>
    </w:rPr>
  </w:style>
  <w:style w:type="character" w:customStyle="1" w:styleId="80">
    <w:name w:val="Comments Char"/>
    <w:link w:val="79"/>
    <w:qFormat/>
    <w:uiPriority w:val="0"/>
    <w:rPr>
      <w:rFonts w:ascii="Arial" w:hAnsi="Arial" w:eastAsia="MS Mincho"/>
      <w:i/>
      <w:sz w:val="18"/>
      <w:szCs w:val="24"/>
    </w:rPr>
  </w:style>
  <w:style w:type="character" w:customStyle="1" w:styleId="81">
    <w:name w:val="TH Char"/>
    <w:link w:val="50"/>
    <w:qFormat/>
    <w:locked/>
    <w:uiPriority w:val="0"/>
    <w:rPr>
      <w:rFonts w:ascii="Arial" w:hAnsi="Arial"/>
      <w:b/>
      <w:lang w:val="en-US" w:eastAsia="en-US"/>
    </w:rPr>
  </w:style>
  <w:style w:type="character" w:customStyle="1" w:styleId="82">
    <w:name w:val="TF Char"/>
    <w:link w:val="57"/>
    <w:qFormat/>
    <w:locked/>
    <w:uiPriority w:val="0"/>
    <w:rPr>
      <w:rFonts w:ascii="Arial" w:hAnsi="Arial"/>
      <w:b/>
      <w:lang w:val="en-US" w:eastAsia="en-US"/>
    </w:rPr>
  </w:style>
  <w:style w:type="character" w:customStyle="1" w:styleId="83">
    <w:name w:val="B1 Char"/>
    <w:link w:val="48"/>
    <w:qFormat/>
    <w:uiPriority w:val="0"/>
    <w:rPr>
      <w:lang w:val="en-US" w:eastAsia="en-US"/>
    </w:rPr>
  </w:style>
  <w:style w:type="character" w:customStyle="1" w:styleId="84">
    <w:name w:val="B2 Char"/>
    <w:link w:val="59"/>
    <w:qFormat/>
    <w:uiPriority w:val="0"/>
    <w:rPr>
      <w:lang w:val="en-US" w:eastAsia="en-US"/>
    </w:rPr>
  </w:style>
  <w:style w:type="character" w:customStyle="1" w:styleId="85">
    <w:name w:val="TAL Char"/>
    <w:link w:val="40"/>
    <w:qFormat/>
    <w:locked/>
    <w:uiPriority w:val="0"/>
    <w:rPr>
      <w:rFonts w:ascii="Arial" w:hAnsi="Arial"/>
      <w:sz w:val="18"/>
      <w:lang w:val="en-US" w:eastAsia="en-US"/>
    </w:rPr>
  </w:style>
  <w:style w:type="character" w:customStyle="1" w:styleId="86">
    <w:name w:val="TAH Car"/>
    <w:link w:val="41"/>
    <w:qFormat/>
    <w:locked/>
    <w:uiPriority w:val="0"/>
    <w:rPr>
      <w:rFonts w:ascii="Arial" w:hAnsi="Arial"/>
      <w:b/>
      <w:sz w:val="18"/>
      <w:lang w:val="en-US" w:eastAsia="en-US"/>
    </w:rPr>
  </w:style>
  <w:style w:type="paragraph" w:customStyle="1" w:styleId="87">
    <w:name w:val="正文1"/>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7750159-915C-4332-A535-9DAC701A7C02}">
  <ds:schemaRefs/>
</ds:datastoreItem>
</file>

<file path=customXml/itemProps2.xml><?xml version="1.0" encoding="utf-8"?>
<ds:datastoreItem xmlns:ds="http://schemas.openxmlformats.org/officeDocument/2006/customXml" ds:itemID="{B8200C5E-686A-498E-A9A0-51DA562118FD}">
  <ds:schemaRefs/>
</ds:datastoreItem>
</file>

<file path=customXml/itemProps3.xml><?xml version="1.0" encoding="utf-8"?>
<ds:datastoreItem xmlns:ds="http://schemas.openxmlformats.org/officeDocument/2006/customXml" ds:itemID="{9F52CEDD-7AC6-403E-946B-F7A9A72C3B36}">
  <ds:schemaRefs/>
</ds:datastoreItem>
</file>

<file path=customXml/itemProps4.xml><?xml version="1.0" encoding="utf-8"?>
<ds:datastoreItem xmlns:ds="http://schemas.openxmlformats.org/officeDocument/2006/customXml" ds:itemID="{E8EDFA05-CD50-438D-A79F-CBCA108C7678}">
  <ds:schemaRefs/>
</ds:datastoreItem>
</file>

<file path=customXml/itemProps5.xml><?xml version="1.0" encoding="utf-8"?>
<ds:datastoreItem xmlns:ds="http://schemas.openxmlformats.org/officeDocument/2006/customXml" ds:itemID="{B783112F-6747-47E2-AFE0-9AE56D0C6EE8}">
  <ds:schemaRefs/>
</ds:datastoreItem>
</file>

<file path=docProps/app.xml><?xml version="1.0" encoding="utf-8"?>
<Properties xmlns="http://schemas.openxmlformats.org/officeDocument/2006/extended-properties" xmlns:vt="http://schemas.openxmlformats.org/officeDocument/2006/docPropsVTypes">
  <Template>3GPP TDoc.dot</Template>
  <Company>China Mobile Communications Group Co.,Ltd</Company>
  <Pages>4</Pages>
  <Words>1172</Words>
  <Characters>6685</Characters>
  <Lines>55</Lines>
  <Paragraphs>15</Paragraphs>
  <TotalTime>4631</TotalTime>
  <ScaleCrop>false</ScaleCrop>
  <LinksUpToDate>false</LinksUpToDate>
  <CharactersWithSpaces>7842</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2022-07-29T03:01:00Z</dcterms:created>
  <dc:creator>刘康怡 (Kangyi Liu)</dc:creator>
  <cp:lastModifiedBy>CMCC</cp:lastModifiedBy>
  <dcterms:modified xsi:type="dcterms:W3CDTF">2023-04-07T03:22:39Z</dcterms:modified>
  <dc:subject>&lt;Title 1; Title 2&gt; (Release 13 |12 |11 | 10 | 9 | 8 | 7 | 6 | 5 | 4)</dc:subject>
  <cp:revision>1304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y fmtid="{D5CDD505-2E9C-101B-9397-08002B2CF9AE}" pid="4" name="KSOProductBuildVer">
    <vt:lpwstr>2052-11.8.2.11716</vt:lpwstr>
  </property>
  <property fmtid="{D5CDD505-2E9C-101B-9397-08002B2CF9AE}" pid="5" name="ICV">
    <vt:lpwstr>E9D5B228DF944BB08B787A5BC98F3AB1</vt:lpwstr>
  </property>
</Properties>
</file>